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DB7" w:rsidRPr="00B41333" w:rsidRDefault="00B21DB7" w:rsidP="00B21DB7">
      <w:pPr>
        <w:spacing w:line="276" w:lineRule="auto"/>
        <w:jc w:val="center"/>
        <w:rPr>
          <w:b/>
          <w:sz w:val="24"/>
          <w:szCs w:val="24"/>
        </w:rPr>
      </w:pPr>
      <w:r w:rsidRPr="00B41333">
        <w:rPr>
          <w:b/>
          <w:sz w:val="24"/>
          <w:szCs w:val="24"/>
        </w:rPr>
        <w:t>КОНТРОЛЬНО-СЧЕТНАЯ ПАЛАТА</w:t>
      </w:r>
    </w:p>
    <w:p w:rsidR="00B21DB7" w:rsidRPr="00B41333" w:rsidRDefault="00B21DB7" w:rsidP="00B21DB7">
      <w:pPr>
        <w:spacing w:line="276" w:lineRule="auto"/>
        <w:jc w:val="center"/>
        <w:rPr>
          <w:sz w:val="24"/>
          <w:szCs w:val="24"/>
        </w:rPr>
      </w:pPr>
      <w:r w:rsidRPr="00B41333">
        <w:rPr>
          <w:b/>
          <w:sz w:val="24"/>
          <w:szCs w:val="24"/>
        </w:rPr>
        <w:t>ГОРОДА СОРСКА РЕСПУБЛИКИ ХАКАСИЯ</w:t>
      </w:r>
    </w:p>
    <w:tbl>
      <w:tblPr>
        <w:tblpPr w:leftFromText="180" w:rightFromText="180" w:vertAnchor="text" w:horzAnchor="page" w:tblpX="1474" w:tblpY="80"/>
        <w:tblW w:w="9747" w:type="dxa"/>
        <w:tblBorders>
          <w:top w:val="single" w:sz="24" w:space="0" w:color="auto"/>
        </w:tblBorders>
        <w:tblLayout w:type="fixed"/>
        <w:tblLook w:val="0000"/>
      </w:tblPr>
      <w:tblGrid>
        <w:gridCol w:w="9747"/>
      </w:tblGrid>
      <w:tr w:rsidR="00B21DB7" w:rsidRPr="00B41333" w:rsidTr="00416D27">
        <w:tblPrEx>
          <w:tblCellMar>
            <w:top w:w="0" w:type="dxa"/>
            <w:bottom w:w="0" w:type="dxa"/>
          </w:tblCellMar>
        </w:tblPrEx>
        <w:trPr>
          <w:trHeight w:val="42"/>
        </w:trPr>
        <w:tc>
          <w:tcPr>
            <w:tcW w:w="9747" w:type="dxa"/>
            <w:tcBorders>
              <w:top w:val="single" w:sz="12" w:space="0" w:color="auto"/>
            </w:tcBorders>
          </w:tcPr>
          <w:tbl>
            <w:tblPr>
              <w:tblpPr w:leftFromText="180" w:rightFromText="180" w:vertAnchor="page" w:horzAnchor="margin" w:tblpY="1"/>
              <w:tblOverlap w:val="never"/>
              <w:tblW w:w="9923" w:type="dxa"/>
              <w:tblLayout w:type="fixed"/>
              <w:tblCellMar>
                <w:left w:w="0" w:type="dxa"/>
                <w:right w:w="0" w:type="dxa"/>
              </w:tblCellMar>
              <w:tblLook w:val="0000"/>
            </w:tblPr>
            <w:tblGrid>
              <w:gridCol w:w="4678"/>
              <w:gridCol w:w="5245"/>
            </w:tblGrid>
            <w:tr w:rsidR="00B21DB7" w:rsidRPr="00B41333" w:rsidTr="00416D27">
              <w:tblPrEx>
                <w:tblCellMar>
                  <w:top w:w="0" w:type="dxa"/>
                  <w:left w:w="0" w:type="dxa"/>
                  <w:bottom w:w="0" w:type="dxa"/>
                  <w:right w:w="0" w:type="dxa"/>
                </w:tblCellMar>
              </w:tblPrEx>
              <w:trPr>
                <w:cantSplit/>
                <w:trHeight w:hRule="exact" w:val="507"/>
              </w:trPr>
              <w:tc>
                <w:tcPr>
                  <w:tcW w:w="4678" w:type="dxa"/>
                </w:tcPr>
                <w:p w:rsidR="00B21DB7" w:rsidRPr="00B41333" w:rsidRDefault="00C4323D" w:rsidP="00C4323D">
                  <w:pPr>
                    <w:spacing w:before="180" w:line="240" w:lineRule="auto"/>
                    <w:ind w:firstLine="0"/>
                    <w:jc w:val="left"/>
                    <w:rPr>
                      <w:sz w:val="24"/>
                      <w:szCs w:val="24"/>
                    </w:rPr>
                  </w:pPr>
                  <w:r w:rsidRPr="00B41333">
                    <w:rPr>
                      <w:sz w:val="24"/>
                      <w:szCs w:val="24"/>
                    </w:rPr>
                    <w:t>04 апреля 2017 года</w:t>
                  </w:r>
                </w:p>
              </w:tc>
              <w:tc>
                <w:tcPr>
                  <w:tcW w:w="5245" w:type="dxa"/>
                </w:tcPr>
                <w:p w:rsidR="00B21DB7" w:rsidRPr="00B41333" w:rsidRDefault="00C4323D" w:rsidP="00C4323D">
                  <w:pPr>
                    <w:spacing w:before="180" w:line="240" w:lineRule="auto"/>
                    <w:ind w:right="284" w:firstLine="0"/>
                    <w:jc w:val="right"/>
                    <w:rPr>
                      <w:sz w:val="24"/>
                      <w:szCs w:val="24"/>
                    </w:rPr>
                  </w:pPr>
                  <w:r w:rsidRPr="00B41333">
                    <w:rPr>
                      <w:sz w:val="24"/>
                      <w:szCs w:val="24"/>
                    </w:rPr>
                    <w:t>г. Сорск</w:t>
                  </w:r>
                </w:p>
              </w:tc>
            </w:tr>
          </w:tbl>
          <w:p w:rsidR="00B21DB7" w:rsidRPr="00B41333" w:rsidRDefault="00B21DB7" w:rsidP="00416D27">
            <w:pPr>
              <w:spacing w:line="240" w:lineRule="auto"/>
              <w:ind w:firstLine="0"/>
              <w:jc w:val="center"/>
              <w:rPr>
                <w:sz w:val="24"/>
                <w:szCs w:val="24"/>
              </w:rPr>
            </w:pPr>
          </w:p>
        </w:tc>
      </w:tr>
    </w:tbl>
    <w:p w:rsidR="00B21DB7" w:rsidRPr="00B41333" w:rsidRDefault="00B21DB7" w:rsidP="00B21DB7">
      <w:pPr>
        <w:spacing w:line="240" w:lineRule="auto"/>
        <w:ind w:left="284" w:right="-284"/>
        <w:rPr>
          <w:sz w:val="24"/>
          <w:szCs w:val="24"/>
        </w:rPr>
      </w:pPr>
    </w:p>
    <w:p w:rsidR="00B21DB7" w:rsidRPr="00B41333" w:rsidRDefault="00B21DB7" w:rsidP="00B21DB7">
      <w:pPr>
        <w:pStyle w:val="2"/>
        <w:rPr>
          <w:sz w:val="24"/>
          <w:szCs w:val="24"/>
        </w:rPr>
      </w:pPr>
      <w:r w:rsidRPr="00B41333">
        <w:rPr>
          <w:sz w:val="24"/>
          <w:szCs w:val="24"/>
        </w:rPr>
        <w:t>информация</w:t>
      </w:r>
    </w:p>
    <w:p w:rsidR="00B21DB7" w:rsidRPr="00B41333" w:rsidRDefault="00B21DB7" w:rsidP="00C4323D">
      <w:pPr>
        <w:pStyle w:val="2"/>
        <w:ind w:right="141"/>
        <w:rPr>
          <w:sz w:val="24"/>
          <w:szCs w:val="24"/>
        </w:rPr>
      </w:pPr>
      <w:r w:rsidRPr="00B41333">
        <w:rPr>
          <w:bCs/>
          <w:sz w:val="24"/>
          <w:szCs w:val="24"/>
        </w:rPr>
        <w:t>ОБ ОСНОВНЫХ ИТОГАХ КОНТРОЛЬНОГО МЕРОПРИЯТИЯ</w:t>
      </w:r>
    </w:p>
    <w:p w:rsidR="00B21DB7" w:rsidRPr="00B41333" w:rsidRDefault="00B21DB7" w:rsidP="00B21DB7">
      <w:pPr>
        <w:pStyle w:val="3"/>
        <w:rPr>
          <w:sz w:val="24"/>
          <w:szCs w:val="24"/>
        </w:rPr>
      </w:pPr>
    </w:p>
    <w:p w:rsidR="00B21DB7" w:rsidRPr="00B41333" w:rsidRDefault="00B21DB7" w:rsidP="00C4323D">
      <w:pPr>
        <w:spacing w:line="240" w:lineRule="auto"/>
        <w:ind w:right="-142"/>
        <w:rPr>
          <w:sz w:val="24"/>
          <w:szCs w:val="24"/>
          <w:vertAlign w:val="superscript"/>
        </w:rPr>
      </w:pPr>
      <w:proofErr w:type="gramStart"/>
      <w:r w:rsidRPr="00B41333">
        <w:rPr>
          <w:sz w:val="24"/>
          <w:szCs w:val="24"/>
        </w:rPr>
        <w:t>Контрольно-счетная палата города Сорска в соответствии с п.1 плана работы контрольно-счетной палаты города Сорска на 2017 год и распоряжение</w:t>
      </w:r>
      <w:r w:rsidR="00C4323D" w:rsidRPr="00B41333">
        <w:rPr>
          <w:sz w:val="24"/>
          <w:szCs w:val="24"/>
        </w:rPr>
        <w:t>м</w:t>
      </w:r>
      <w:r w:rsidRPr="00B41333">
        <w:rPr>
          <w:sz w:val="24"/>
          <w:szCs w:val="24"/>
        </w:rPr>
        <w:t xml:space="preserve"> председателя контрольно-счетной палаты города Сорска от 19.01.2017г № 1-р</w:t>
      </w:r>
      <w:r w:rsidR="00C4323D" w:rsidRPr="00B41333">
        <w:rPr>
          <w:sz w:val="24"/>
          <w:szCs w:val="24"/>
        </w:rPr>
        <w:t xml:space="preserve"> </w:t>
      </w:r>
      <w:r w:rsidRPr="00B41333">
        <w:rPr>
          <w:sz w:val="24"/>
          <w:szCs w:val="24"/>
        </w:rPr>
        <w:t>прове</w:t>
      </w:r>
      <w:r w:rsidR="00C4323D" w:rsidRPr="00B41333">
        <w:rPr>
          <w:sz w:val="24"/>
          <w:szCs w:val="24"/>
        </w:rPr>
        <w:t>ла</w:t>
      </w:r>
      <w:r w:rsidRPr="00B41333">
        <w:rPr>
          <w:sz w:val="24"/>
          <w:szCs w:val="24"/>
        </w:rPr>
        <w:t xml:space="preserve"> контрольное мероприятие «Проверка использования бюджетных средств по организации гражданской обороны и защиты от чрезвычайных ситуаций в городе Сорске в 2015-2016 годах»</w:t>
      </w:r>
      <w:r w:rsidR="00C4323D" w:rsidRPr="00B41333">
        <w:rPr>
          <w:sz w:val="24"/>
          <w:szCs w:val="24"/>
        </w:rPr>
        <w:t>.</w:t>
      </w:r>
      <w:proofErr w:type="gramEnd"/>
    </w:p>
    <w:p w:rsidR="00B21DB7" w:rsidRPr="00B41333" w:rsidRDefault="00B21DB7" w:rsidP="00B21DB7">
      <w:pPr>
        <w:spacing w:line="240" w:lineRule="auto"/>
        <w:ind w:right="-6"/>
        <w:rPr>
          <w:sz w:val="24"/>
          <w:szCs w:val="24"/>
        </w:rPr>
      </w:pPr>
      <w:r w:rsidRPr="00B41333">
        <w:rPr>
          <w:sz w:val="24"/>
          <w:szCs w:val="24"/>
        </w:rPr>
        <w:t>Цел</w:t>
      </w:r>
      <w:r w:rsidR="00A73222">
        <w:rPr>
          <w:sz w:val="24"/>
          <w:szCs w:val="24"/>
        </w:rPr>
        <w:t>и</w:t>
      </w:r>
      <w:r w:rsidRPr="00B41333">
        <w:rPr>
          <w:sz w:val="24"/>
          <w:szCs w:val="24"/>
        </w:rPr>
        <w:t xml:space="preserve"> контрольного мероприятия: </w:t>
      </w:r>
    </w:p>
    <w:p w:rsidR="00B21DB7" w:rsidRPr="00B41333" w:rsidRDefault="00B21DB7" w:rsidP="00C4323D">
      <w:pPr>
        <w:pStyle w:val="a3"/>
        <w:numPr>
          <w:ilvl w:val="0"/>
          <w:numId w:val="1"/>
        </w:numPr>
        <w:spacing w:line="240" w:lineRule="auto"/>
        <w:ind w:left="1134" w:right="-6" w:hanging="425"/>
        <w:rPr>
          <w:sz w:val="24"/>
          <w:szCs w:val="24"/>
        </w:rPr>
      </w:pPr>
      <w:r w:rsidRPr="00B41333">
        <w:rPr>
          <w:sz w:val="24"/>
          <w:szCs w:val="24"/>
        </w:rPr>
        <w:t>Провести анализ программы «Защита населения и территории муниципального образования город Сорск от чрезвычайных ситуаций, обеспечение пожарной безопасности и безопасности людей на водных объектах (2014-2016 годы)», включая внесение изменений в программу за период 2015-2016 годов.</w:t>
      </w:r>
    </w:p>
    <w:p w:rsidR="00B21DB7" w:rsidRPr="00B41333" w:rsidRDefault="00B21DB7" w:rsidP="00C4323D">
      <w:pPr>
        <w:pStyle w:val="a3"/>
        <w:numPr>
          <w:ilvl w:val="0"/>
          <w:numId w:val="1"/>
        </w:numPr>
        <w:spacing w:line="240" w:lineRule="auto"/>
        <w:ind w:left="1134" w:right="-6" w:hanging="425"/>
        <w:rPr>
          <w:sz w:val="24"/>
          <w:szCs w:val="24"/>
        </w:rPr>
      </w:pPr>
      <w:r w:rsidRPr="00B41333">
        <w:rPr>
          <w:sz w:val="24"/>
          <w:szCs w:val="24"/>
        </w:rPr>
        <w:t xml:space="preserve">Провести оценку правильности и законности выделения бюджетных средств из резервного фонда администрации </w:t>
      </w:r>
      <w:proofErr w:type="gramStart"/>
      <w:r w:rsidRPr="00B41333">
        <w:rPr>
          <w:sz w:val="24"/>
          <w:szCs w:val="24"/>
        </w:rPr>
        <w:t>г</w:t>
      </w:r>
      <w:proofErr w:type="gramEnd"/>
      <w:r w:rsidRPr="00B41333">
        <w:rPr>
          <w:sz w:val="24"/>
          <w:szCs w:val="24"/>
        </w:rPr>
        <w:t>. Сорска за период 2015-2016 годов при возникновении чрезвычайных ситуаций на территории муниципального образования г. Сорск.</w:t>
      </w:r>
    </w:p>
    <w:p w:rsidR="00B21DB7" w:rsidRPr="00B41333" w:rsidRDefault="00B21DB7" w:rsidP="00B21DB7">
      <w:pPr>
        <w:spacing w:line="240" w:lineRule="auto"/>
        <w:ind w:right="-6"/>
        <w:rPr>
          <w:sz w:val="24"/>
          <w:szCs w:val="24"/>
        </w:rPr>
      </w:pPr>
      <w:r w:rsidRPr="00B41333">
        <w:rPr>
          <w:sz w:val="24"/>
          <w:szCs w:val="24"/>
        </w:rPr>
        <w:t xml:space="preserve">Объект контрольного мероприятия: </w:t>
      </w:r>
    </w:p>
    <w:p w:rsidR="00B21DB7" w:rsidRPr="00B41333" w:rsidRDefault="00B21DB7" w:rsidP="00B21DB7">
      <w:pPr>
        <w:spacing w:line="240" w:lineRule="auto"/>
        <w:rPr>
          <w:sz w:val="24"/>
          <w:szCs w:val="24"/>
        </w:rPr>
      </w:pPr>
      <w:r w:rsidRPr="00B41333">
        <w:rPr>
          <w:sz w:val="24"/>
          <w:szCs w:val="24"/>
        </w:rPr>
        <w:t>- администрация города Сорска.</w:t>
      </w:r>
    </w:p>
    <w:p w:rsidR="00C4323D" w:rsidRPr="00B41333" w:rsidRDefault="00B21DB7" w:rsidP="00C4323D">
      <w:pPr>
        <w:spacing w:line="240" w:lineRule="auto"/>
        <w:ind w:right="-284"/>
        <w:rPr>
          <w:sz w:val="24"/>
          <w:szCs w:val="24"/>
        </w:rPr>
      </w:pPr>
      <w:r w:rsidRPr="00B41333">
        <w:rPr>
          <w:sz w:val="24"/>
          <w:szCs w:val="24"/>
        </w:rPr>
        <w:t>В результате проведенного контрольного мероприятия выявлено</w:t>
      </w:r>
      <w:r w:rsidR="00C4323D" w:rsidRPr="00B41333">
        <w:rPr>
          <w:sz w:val="24"/>
          <w:szCs w:val="24"/>
        </w:rPr>
        <w:t xml:space="preserve"> следующее.</w:t>
      </w:r>
      <w:r w:rsidRPr="00B41333">
        <w:rPr>
          <w:sz w:val="24"/>
          <w:szCs w:val="24"/>
        </w:rPr>
        <w:t xml:space="preserve"> </w:t>
      </w:r>
    </w:p>
    <w:p w:rsidR="00B21DB7" w:rsidRPr="00B41333" w:rsidRDefault="00B21DB7" w:rsidP="00C4323D">
      <w:pPr>
        <w:spacing w:line="240" w:lineRule="auto"/>
        <w:ind w:right="-284"/>
        <w:rPr>
          <w:sz w:val="24"/>
          <w:szCs w:val="24"/>
        </w:rPr>
      </w:pPr>
      <w:r w:rsidRPr="00B41333">
        <w:rPr>
          <w:sz w:val="24"/>
          <w:szCs w:val="24"/>
        </w:rPr>
        <w:t xml:space="preserve">В стадии разработки, утверждения и </w:t>
      </w:r>
      <w:r w:rsidR="00A73222">
        <w:rPr>
          <w:sz w:val="24"/>
          <w:szCs w:val="24"/>
        </w:rPr>
        <w:t>внесения изменений в</w:t>
      </w:r>
      <w:r w:rsidRPr="00B41333">
        <w:rPr>
          <w:sz w:val="24"/>
          <w:szCs w:val="24"/>
        </w:rPr>
        <w:t xml:space="preserve"> Программ</w:t>
      </w:r>
      <w:r w:rsidR="00A73222">
        <w:rPr>
          <w:sz w:val="24"/>
          <w:szCs w:val="24"/>
        </w:rPr>
        <w:t>у</w:t>
      </w:r>
      <w:r w:rsidRPr="00B41333">
        <w:rPr>
          <w:sz w:val="24"/>
          <w:szCs w:val="24"/>
        </w:rPr>
        <w:t xml:space="preserve"> </w:t>
      </w:r>
      <w:r w:rsidR="00A73222">
        <w:rPr>
          <w:sz w:val="24"/>
          <w:szCs w:val="24"/>
        </w:rPr>
        <w:t xml:space="preserve">в трех случаях </w:t>
      </w:r>
      <w:r w:rsidRPr="00B41333">
        <w:rPr>
          <w:sz w:val="24"/>
          <w:szCs w:val="24"/>
        </w:rPr>
        <w:t xml:space="preserve">выявлены нарушения п.2 ст.179 Бюджетного Кодекса в части изменения финансового объема Программы в бюджете МО г. Сорск ранее вступления в силу нормативного акта, утвердившего Программу, а так же отсутствия изменений в Программе после </w:t>
      </w:r>
      <w:r w:rsidR="00A73222">
        <w:rPr>
          <w:sz w:val="24"/>
          <w:szCs w:val="24"/>
        </w:rPr>
        <w:t>утверждения</w:t>
      </w:r>
      <w:r w:rsidRPr="00B41333">
        <w:rPr>
          <w:sz w:val="24"/>
          <w:szCs w:val="24"/>
        </w:rPr>
        <w:t xml:space="preserve"> размера бюджетных инвестиций.</w:t>
      </w:r>
    </w:p>
    <w:p w:rsidR="00B21DB7" w:rsidRPr="00B41333" w:rsidRDefault="00B21DB7" w:rsidP="00C4323D">
      <w:pPr>
        <w:spacing w:line="240" w:lineRule="auto"/>
        <w:ind w:firstLine="284"/>
        <w:rPr>
          <w:sz w:val="24"/>
          <w:szCs w:val="24"/>
        </w:rPr>
      </w:pPr>
      <w:r w:rsidRPr="00B41333">
        <w:rPr>
          <w:sz w:val="24"/>
          <w:szCs w:val="24"/>
        </w:rPr>
        <w:t xml:space="preserve">Исполнение Программы в 2015 году составило 87,9%, в 2016 году – 58,9%. </w:t>
      </w:r>
    </w:p>
    <w:p w:rsidR="00B21DB7" w:rsidRPr="00B41333" w:rsidRDefault="00B21DB7" w:rsidP="00C4323D">
      <w:pPr>
        <w:spacing w:line="240" w:lineRule="auto"/>
        <w:ind w:firstLine="284"/>
        <w:rPr>
          <w:sz w:val="24"/>
          <w:szCs w:val="24"/>
        </w:rPr>
      </w:pPr>
      <w:r w:rsidRPr="00B41333">
        <w:rPr>
          <w:sz w:val="24"/>
          <w:szCs w:val="24"/>
        </w:rPr>
        <w:t xml:space="preserve">Фактические работы проведены в соответствии с мероприятиями Программы, в рамках утвержденного Программой и бюджетом муниципального образования </w:t>
      </w:r>
      <w:proofErr w:type="gramStart"/>
      <w:r w:rsidRPr="00B41333">
        <w:rPr>
          <w:sz w:val="24"/>
          <w:szCs w:val="24"/>
        </w:rPr>
        <w:t>г</w:t>
      </w:r>
      <w:proofErr w:type="gramEnd"/>
      <w:r w:rsidRPr="00B41333">
        <w:rPr>
          <w:sz w:val="24"/>
          <w:szCs w:val="24"/>
        </w:rPr>
        <w:t xml:space="preserve">. Сорск объема финансирования, нарушений не выявлено. </w:t>
      </w:r>
    </w:p>
    <w:p w:rsidR="00B21DB7" w:rsidRPr="00B41333" w:rsidRDefault="00B21DB7" w:rsidP="00C4323D">
      <w:pPr>
        <w:spacing w:line="240" w:lineRule="auto"/>
        <w:ind w:firstLine="284"/>
        <w:rPr>
          <w:sz w:val="24"/>
          <w:szCs w:val="24"/>
        </w:rPr>
      </w:pPr>
      <w:r w:rsidRPr="00B41333">
        <w:rPr>
          <w:sz w:val="24"/>
          <w:szCs w:val="24"/>
        </w:rPr>
        <w:t xml:space="preserve">Средства резервного фонда  использованы в 2015 году на 94,6%, в 2016 году на 99%. Выделение бюджетных средств из резервного фонда производилось в соответствии с утвержденным бюджетом МО г. Сорск объемом финансирования, превышение лимитов не выявлено. </w:t>
      </w:r>
    </w:p>
    <w:p w:rsidR="00B21DB7" w:rsidRPr="00B41333" w:rsidRDefault="00B21DB7" w:rsidP="00C4323D">
      <w:pPr>
        <w:spacing w:line="240" w:lineRule="auto"/>
        <w:ind w:firstLine="284"/>
        <w:rPr>
          <w:sz w:val="24"/>
          <w:szCs w:val="24"/>
        </w:rPr>
      </w:pPr>
      <w:r w:rsidRPr="00B41333">
        <w:rPr>
          <w:sz w:val="24"/>
          <w:szCs w:val="24"/>
        </w:rPr>
        <w:t>При проверке использования средств резервного фонда в соответствии с утвержденным Порядком использования бюджетных ассигнований резервного фонда администрации г</w:t>
      </w:r>
      <w:proofErr w:type="gramStart"/>
      <w:r w:rsidRPr="00B41333">
        <w:rPr>
          <w:sz w:val="24"/>
          <w:szCs w:val="24"/>
        </w:rPr>
        <w:t>.С</w:t>
      </w:r>
      <w:proofErr w:type="gramEnd"/>
      <w:r w:rsidRPr="00B41333">
        <w:rPr>
          <w:sz w:val="24"/>
          <w:szCs w:val="24"/>
        </w:rPr>
        <w:t xml:space="preserve">орска (в ред.от 23.04.2014г №190-п) (далее – Порядок) выявлено общее нарушение в части неполного предоставления документов к проекту постановлений о выделении бюджетных ассигнований из резервного фонда на приобретение угля (твердого топлива) для городской котельной. </w:t>
      </w:r>
    </w:p>
    <w:p w:rsidR="00B21DB7" w:rsidRPr="00B41333" w:rsidRDefault="00B21DB7" w:rsidP="00C4323D">
      <w:pPr>
        <w:spacing w:line="240" w:lineRule="auto"/>
        <w:ind w:firstLine="284"/>
        <w:rPr>
          <w:sz w:val="24"/>
          <w:szCs w:val="24"/>
        </w:rPr>
      </w:pPr>
      <w:r w:rsidRPr="00B41333">
        <w:rPr>
          <w:sz w:val="24"/>
          <w:szCs w:val="24"/>
        </w:rPr>
        <w:t xml:space="preserve">  В соответствии с п.6 Порядка к проекту постановления необходимо предоставлять экономические расчеты объемов расходов, проверенные структурными подразделениями администрации, в компетенции которых находится рассмотрение оснований, по которым предоставляются средства резервного фонда администрации. </w:t>
      </w:r>
    </w:p>
    <w:p w:rsidR="00B21DB7" w:rsidRPr="00B41333" w:rsidRDefault="00B21DB7" w:rsidP="00B21DB7">
      <w:pPr>
        <w:pStyle w:val="a3"/>
        <w:spacing w:line="240" w:lineRule="auto"/>
        <w:ind w:left="0" w:firstLine="284"/>
        <w:rPr>
          <w:sz w:val="24"/>
          <w:szCs w:val="24"/>
        </w:rPr>
      </w:pPr>
      <w:r w:rsidRPr="00B41333">
        <w:rPr>
          <w:sz w:val="24"/>
          <w:szCs w:val="24"/>
        </w:rPr>
        <w:t>Однако</w:t>
      </w:r>
      <w:proofErr w:type="gramStart"/>
      <w:r w:rsidRPr="00B41333">
        <w:rPr>
          <w:sz w:val="24"/>
          <w:szCs w:val="24"/>
        </w:rPr>
        <w:t>,</w:t>
      </w:r>
      <w:proofErr w:type="gramEnd"/>
      <w:r w:rsidRPr="00B41333">
        <w:rPr>
          <w:sz w:val="24"/>
          <w:szCs w:val="24"/>
        </w:rPr>
        <w:t xml:space="preserve"> ни в одном случае расчет необходимой потребности топлива не предоставлен, в ходатайствах руководителя предприятия и протоколах заседания комиссии по предупреждению и ликвидации чрезвычайных ситуаций и обеспечению пожарной безопасности МО г. Сорск отмечен только общий размер необходимой суммы без количественного расчета. Количество и остаток расходуемого угля озвучивается со слов </w:t>
      </w:r>
      <w:r w:rsidRPr="00B41333">
        <w:rPr>
          <w:sz w:val="24"/>
          <w:szCs w:val="24"/>
        </w:rPr>
        <w:lastRenderedPageBreak/>
        <w:t xml:space="preserve">руководителей предприятия. Необходимость выделения твердого топлива именно в указанном количестве документально не подтверждается. </w:t>
      </w:r>
    </w:p>
    <w:p w:rsidR="00B21DB7" w:rsidRPr="00B41333" w:rsidRDefault="00B21DB7" w:rsidP="00B21DB7">
      <w:pPr>
        <w:pStyle w:val="a3"/>
        <w:spacing w:line="240" w:lineRule="auto"/>
        <w:ind w:left="0" w:firstLine="284"/>
        <w:rPr>
          <w:sz w:val="24"/>
          <w:szCs w:val="24"/>
        </w:rPr>
      </w:pPr>
      <w:r w:rsidRPr="00B41333">
        <w:rPr>
          <w:sz w:val="24"/>
          <w:szCs w:val="24"/>
        </w:rPr>
        <w:t xml:space="preserve">Для определения среднесуточного расхода угля на городской котельной контрольно-счетной палатой города Сорска в МУП «Коммунальные системы» была запрошена дополнительная информация о расходе угля в отопительный период 2015-2016 годов. Из информации отмечено, что средний фактический расход угля за сутки в отопительном периоде 2015-2016гг варьируется от 86,1 до 194 тонн в сутки, в  отопительном периоде 2016-2017гг – от 94,2 до 188 тонн в сутки, в зависимости от внешней температуры воздуха. </w:t>
      </w:r>
    </w:p>
    <w:p w:rsidR="00B21DB7" w:rsidRPr="00B41333" w:rsidRDefault="00B21DB7" w:rsidP="00B21DB7">
      <w:pPr>
        <w:pStyle w:val="a3"/>
        <w:spacing w:line="240" w:lineRule="auto"/>
        <w:ind w:left="0" w:firstLine="284"/>
        <w:rPr>
          <w:sz w:val="24"/>
          <w:szCs w:val="24"/>
        </w:rPr>
      </w:pPr>
      <w:r w:rsidRPr="00B41333">
        <w:rPr>
          <w:sz w:val="24"/>
          <w:szCs w:val="24"/>
        </w:rPr>
        <w:t xml:space="preserve">Взяв во внимание среднесуточный расход угля, можно рассчитать, что в октябре 2015 года угля (твердого топлива) было закуплено из резервного фонда для нужд городской котельной в среднем на 17-18 дней, в октябре 2016 года – на 73-74 дня. </w:t>
      </w:r>
    </w:p>
    <w:p w:rsidR="00B21DB7" w:rsidRPr="00B41333" w:rsidRDefault="00B21DB7" w:rsidP="00B21DB7">
      <w:pPr>
        <w:pStyle w:val="a3"/>
        <w:spacing w:line="240" w:lineRule="auto"/>
        <w:ind w:left="0" w:firstLine="284"/>
        <w:rPr>
          <w:sz w:val="24"/>
          <w:szCs w:val="24"/>
        </w:rPr>
      </w:pPr>
      <w:r w:rsidRPr="00B41333">
        <w:rPr>
          <w:sz w:val="24"/>
          <w:szCs w:val="24"/>
        </w:rPr>
        <w:t xml:space="preserve">Исходя из представленной информации, определено, что за период с сентября по февраль, </w:t>
      </w:r>
      <w:proofErr w:type="gramStart"/>
      <w:r w:rsidRPr="00B41333">
        <w:rPr>
          <w:sz w:val="24"/>
          <w:szCs w:val="24"/>
        </w:rPr>
        <w:t>при</w:t>
      </w:r>
      <w:proofErr w:type="gramEnd"/>
      <w:r w:rsidRPr="00B41333">
        <w:rPr>
          <w:sz w:val="24"/>
          <w:szCs w:val="24"/>
        </w:rPr>
        <w:t xml:space="preserve"> относительно </w:t>
      </w:r>
      <w:proofErr w:type="gramStart"/>
      <w:r w:rsidRPr="00B41333">
        <w:rPr>
          <w:sz w:val="24"/>
          <w:szCs w:val="24"/>
        </w:rPr>
        <w:t>теплом</w:t>
      </w:r>
      <w:proofErr w:type="gramEnd"/>
      <w:r w:rsidRPr="00B41333">
        <w:rPr>
          <w:sz w:val="24"/>
          <w:szCs w:val="24"/>
        </w:rPr>
        <w:t xml:space="preserve"> зимнем периоде общий расход угля за отопительный период 2016-2017 годы превысил показатель предыдущего периода на 2152 тонн, к тому же в 2-3 раза увеличен объем среднечасовой подпитки.   </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r w:rsidRPr="00B41333">
        <w:rPr>
          <w:rFonts w:eastAsiaTheme="minorHAnsi"/>
          <w:sz w:val="24"/>
          <w:szCs w:val="24"/>
          <w:lang w:eastAsia="en-US"/>
        </w:rPr>
        <w:t xml:space="preserve">Пояснения администрации </w:t>
      </w:r>
      <w:proofErr w:type="gramStart"/>
      <w:r w:rsidRPr="00B41333">
        <w:rPr>
          <w:rFonts w:eastAsiaTheme="minorHAnsi"/>
          <w:sz w:val="24"/>
          <w:szCs w:val="24"/>
          <w:lang w:eastAsia="en-US"/>
        </w:rPr>
        <w:t>г</w:t>
      </w:r>
      <w:proofErr w:type="gramEnd"/>
      <w:r w:rsidRPr="00B41333">
        <w:rPr>
          <w:rFonts w:eastAsiaTheme="minorHAnsi"/>
          <w:sz w:val="24"/>
          <w:szCs w:val="24"/>
          <w:lang w:eastAsia="en-US"/>
        </w:rPr>
        <w:t xml:space="preserve">. Сорска  по данному вопросу отражены в приложении к </w:t>
      </w:r>
      <w:r w:rsidR="00B41333" w:rsidRPr="00B41333">
        <w:rPr>
          <w:rFonts w:eastAsiaTheme="minorHAnsi"/>
          <w:sz w:val="24"/>
          <w:szCs w:val="24"/>
          <w:lang w:eastAsia="en-US"/>
        </w:rPr>
        <w:t>О</w:t>
      </w:r>
      <w:r w:rsidRPr="00B41333">
        <w:rPr>
          <w:rFonts w:eastAsiaTheme="minorHAnsi"/>
          <w:sz w:val="24"/>
          <w:szCs w:val="24"/>
          <w:lang w:eastAsia="en-US"/>
        </w:rPr>
        <w:t>тчету</w:t>
      </w:r>
      <w:r w:rsidR="00B41333" w:rsidRPr="00B41333">
        <w:rPr>
          <w:rFonts w:eastAsiaTheme="minorHAnsi"/>
          <w:sz w:val="24"/>
          <w:szCs w:val="24"/>
          <w:lang w:eastAsia="en-US"/>
        </w:rPr>
        <w:t xml:space="preserve"> о результатах контрольного мероприятия</w:t>
      </w:r>
      <w:r w:rsidRPr="00B41333">
        <w:rPr>
          <w:rFonts w:eastAsiaTheme="minorHAnsi"/>
          <w:sz w:val="24"/>
          <w:szCs w:val="24"/>
          <w:lang w:eastAsia="en-US"/>
        </w:rPr>
        <w:t xml:space="preserve">. </w:t>
      </w:r>
    </w:p>
    <w:p w:rsidR="00B21DB7" w:rsidRPr="00B41333" w:rsidRDefault="00B21DB7" w:rsidP="00866757">
      <w:pPr>
        <w:pStyle w:val="a3"/>
        <w:spacing w:line="240" w:lineRule="auto"/>
        <w:ind w:left="0" w:firstLine="567"/>
        <w:rPr>
          <w:sz w:val="24"/>
          <w:szCs w:val="24"/>
        </w:rPr>
      </w:pPr>
      <w:r w:rsidRPr="00B41333">
        <w:rPr>
          <w:sz w:val="24"/>
          <w:szCs w:val="24"/>
        </w:rPr>
        <w:t>В целом, в 2016 году выделено средств резервного фонда на приобретение угля на 72% больше, чем в предыдущем году.</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r w:rsidRPr="00B41333">
        <w:rPr>
          <w:sz w:val="24"/>
          <w:szCs w:val="24"/>
        </w:rPr>
        <w:t xml:space="preserve">Не представлена информация, подтверждающая обоснованность выбора подрядчика на оказание услуги по поставке угля в соответствии с постановлениями администрации </w:t>
      </w:r>
      <w:proofErr w:type="gramStart"/>
      <w:r w:rsidRPr="00B41333">
        <w:rPr>
          <w:sz w:val="24"/>
          <w:szCs w:val="24"/>
        </w:rPr>
        <w:t>г</w:t>
      </w:r>
      <w:proofErr w:type="gramEnd"/>
      <w:r w:rsidRPr="00B41333">
        <w:rPr>
          <w:sz w:val="24"/>
          <w:szCs w:val="24"/>
        </w:rPr>
        <w:t>. Сорска от 15.01.2015г. №1-п, от 13.10.2015г №650-п «О выделении средств и резервного фонда администрации г. Сорска». Контракты на поставку твердого топлива заключены с ООО «Региональная топливная компания» в рамках п.9 ч.1 ст.93 ФЗ №44 от 05.04.2013г «О контрактной системе в сфере закупок товаров, работ, услуг для обеспечения государственных и муниципальных нужд», стоимость 1 тонны – 1036 рублей (с НДС).  В данном случае нарушен п</w:t>
      </w:r>
      <w:r w:rsidRPr="00B41333">
        <w:rPr>
          <w:rFonts w:eastAsiaTheme="minorHAnsi"/>
          <w:sz w:val="24"/>
          <w:szCs w:val="24"/>
          <w:lang w:eastAsia="en-US"/>
        </w:rPr>
        <w:t xml:space="preserve">ринцип эффективности использования бюджетных средств, который гласит, что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proofErr w:type="gramStart"/>
      <w:r w:rsidRPr="00B41333">
        <w:rPr>
          <w:rFonts w:eastAsiaTheme="minorHAnsi"/>
          <w:sz w:val="24"/>
          <w:szCs w:val="24"/>
          <w:lang w:eastAsia="en-US"/>
        </w:rPr>
        <w:t>Необходимо уточнить, что проведенный в 2016 году отбор поставщика услуг по поставке угля на городскую котельную позволил заключить контракт с АО «Разрез Березовский»</w:t>
      </w:r>
      <w:r w:rsidRPr="00B41333">
        <w:rPr>
          <w:sz w:val="24"/>
          <w:szCs w:val="24"/>
        </w:rPr>
        <w:t xml:space="preserve"> в рамках п.9 ч.1 ст.93 ФЗ №44 от 05.04.2013г «О контрактной системе в сфере закупок товаров, работ, услуг для обеспечения государственных и муниципальных нужд»</w:t>
      </w:r>
      <w:r w:rsidRPr="00B41333">
        <w:rPr>
          <w:rFonts w:eastAsiaTheme="minorHAnsi"/>
          <w:sz w:val="24"/>
          <w:szCs w:val="24"/>
          <w:lang w:eastAsia="en-US"/>
        </w:rPr>
        <w:t>, с предложением стоимости 1 тонны топлива  - 916,86 рублей (с</w:t>
      </w:r>
      <w:proofErr w:type="gramEnd"/>
      <w:r w:rsidRPr="00B41333">
        <w:rPr>
          <w:rFonts w:eastAsiaTheme="minorHAnsi"/>
          <w:sz w:val="24"/>
          <w:szCs w:val="24"/>
          <w:lang w:eastAsia="en-US"/>
        </w:rPr>
        <w:t xml:space="preserve"> </w:t>
      </w:r>
      <w:proofErr w:type="gramStart"/>
      <w:r w:rsidRPr="00B41333">
        <w:rPr>
          <w:rFonts w:eastAsiaTheme="minorHAnsi"/>
          <w:sz w:val="24"/>
          <w:szCs w:val="24"/>
          <w:lang w:eastAsia="en-US"/>
        </w:rPr>
        <w:t xml:space="preserve">НДС), что на 11,5% ниже стоимости приобретенного угля в прошлом периоде. </w:t>
      </w:r>
      <w:proofErr w:type="gramEnd"/>
    </w:p>
    <w:p w:rsidR="00B41333" w:rsidRPr="00B41333" w:rsidRDefault="00B21DB7" w:rsidP="00B41333">
      <w:pPr>
        <w:spacing w:line="240" w:lineRule="auto"/>
        <w:ind w:firstLine="284"/>
        <w:rPr>
          <w:sz w:val="24"/>
          <w:szCs w:val="24"/>
        </w:rPr>
      </w:pPr>
      <w:r w:rsidRPr="00B41333">
        <w:rPr>
          <w:rFonts w:eastAsiaTheme="minorHAnsi"/>
          <w:sz w:val="24"/>
          <w:szCs w:val="24"/>
          <w:lang w:eastAsia="en-US"/>
        </w:rPr>
        <w:t xml:space="preserve">В одном случае финансовые средства выделялись из резервного фонда на мероприятие, имеющее текущий характер, что противоречит принципу формирования резервного фонда, как финансирование непредвиденных расходов по предупреждению и ликвидации последствий стихийных действий в соответствии с Бюджетным Кодексом РФ. </w:t>
      </w:r>
      <w:r w:rsidR="00B41333" w:rsidRPr="00B41333">
        <w:rPr>
          <w:rFonts w:eastAsiaTheme="minorHAnsi"/>
          <w:sz w:val="24"/>
          <w:szCs w:val="24"/>
          <w:lang w:eastAsia="en-US"/>
        </w:rPr>
        <w:t>Так, в</w:t>
      </w:r>
      <w:r w:rsidR="00B41333" w:rsidRPr="00B41333">
        <w:rPr>
          <w:sz w:val="24"/>
          <w:szCs w:val="24"/>
        </w:rPr>
        <w:t xml:space="preserve"> ходе проведения контрольного мероприятия по коду бюджетной классификации 90201118100999244(225) «Резервный фонд», «иные закупки товаров, работ, услуг для обеспечения государственных (муниципальных) нужд» выявлен факт неверного отражения расходов в размере 14631,86 рублей. Данные средства были направлены на оплату работ по водолазному обследованию дна пруда «Теплый» по договору возмездного оказания услуг от 29.05.2015г №158/15. Финансовые средства были рекомендованы к выделению из резервного фонда в соответствии с п.4 протокола совещания об обеспечении безопасности людей на водных объектах, расположенных на территории МО г. Сорск от 26.05.2015г.  №30-ип. </w:t>
      </w:r>
    </w:p>
    <w:p w:rsidR="00B41333" w:rsidRPr="00B41333" w:rsidRDefault="00B41333" w:rsidP="00B41333">
      <w:pPr>
        <w:autoSpaceDE w:val="0"/>
        <w:autoSpaceDN w:val="0"/>
        <w:adjustRightInd w:val="0"/>
        <w:spacing w:line="240" w:lineRule="auto"/>
        <w:ind w:firstLine="284"/>
        <w:rPr>
          <w:sz w:val="24"/>
          <w:szCs w:val="24"/>
        </w:rPr>
      </w:pPr>
      <w:r w:rsidRPr="00B41333">
        <w:rPr>
          <w:sz w:val="24"/>
          <w:szCs w:val="24"/>
        </w:rPr>
        <w:t>Следует отметить, что пунктом 5 Порядка использования бюджетных ассигнований резервного фонда администрации г</w:t>
      </w:r>
      <w:proofErr w:type="gramStart"/>
      <w:r w:rsidRPr="00B41333">
        <w:rPr>
          <w:sz w:val="24"/>
          <w:szCs w:val="24"/>
        </w:rPr>
        <w:t>.С</w:t>
      </w:r>
      <w:proofErr w:type="gramEnd"/>
      <w:r w:rsidRPr="00B41333">
        <w:rPr>
          <w:sz w:val="24"/>
          <w:szCs w:val="24"/>
        </w:rPr>
        <w:t xml:space="preserve">орска (в ред. от 23.04.2014г №190-п) определено, что выделение средств из резервного фонда администрации осуществляется на основании постановления администрации г. Сорска.  Пунктом 6 Порядка определен перечень документов, необходимых для разработки постановления. </w:t>
      </w:r>
    </w:p>
    <w:p w:rsidR="00B41333" w:rsidRPr="00B41333" w:rsidRDefault="00B41333" w:rsidP="00B41333">
      <w:pPr>
        <w:autoSpaceDE w:val="0"/>
        <w:autoSpaceDN w:val="0"/>
        <w:adjustRightInd w:val="0"/>
        <w:spacing w:line="240" w:lineRule="auto"/>
        <w:ind w:firstLine="284"/>
        <w:rPr>
          <w:sz w:val="24"/>
          <w:szCs w:val="24"/>
        </w:rPr>
      </w:pPr>
      <w:r w:rsidRPr="00B41333">
        <w:rPr>
          <w:sz w:val="24"/>
          <w:szCs w:val="24"/>
        </w:rPr>
        <w:lastRenderedPageBreak/>
        <w:t>По факту, оплата работ произведена напрямую в соответствии с заключенным договором без сопутствующих документов. К тому же, указанная услуга считается текущей, так как ее финансирование запланировано п.8.1 утвержденной Программы и не имеет должного обоснования для финансирования из резервного фонда, что является нарушением п.4 действующего Порядка использования бюджетных ассигнований резервного фонда администрации г</w:t>
      </w:r>
      <w:proofErr w:type="gramStart"/>
      <w:r w:rsidRPr="00B41333">
        <w:rPr>
          <w:sz w:val="24"/>
          <w:szCs w:val="24"/>
        </w:rPr>
        <w:t>.С</w:t>
      </w:r>
      <w:proofErr w:type="gramEnd"/>
      <w:r w:rsidRPr="00B41333">
        <w:rPr>
          <w:sz w:val="24"/>
          <w:szCs w:val="24"/>
        </w:rPr>
        <w:t xml:space="preserve">орска. </w:t>
      </w:r>
    </w:p>
    <w:p w:rsidR="00B41333" w:rsidRPr="00B41333" w:rsidRDefault="00B41333" w:rsidP="00B41333">
      <w:pPr>
        <w:autoSpaceDE w:val="0"/>
        <w:autoSpaceDN w:val="0"/>
        <w:adjustRightInd w:val="0"/>
        <w:spacing w:line="240" w:lineRule="auto"/>
        <w:ind w:firstLine="540"/>
        <w:rPr>
          <w:rFonts w:eastAsiaTheme="minorHAnsi"/>
          <w:sz w:val="24"/>
          <w:szCs w:val="24"/>
          <w:lang w:eastAsia="en-US"/>
        </w:rPr>
      </w:pPr>
      <w:r w:rsidRPr="00B41333">
        <w:rPr>
          <w:rFonts w:eastAsiaTheme="minorHAnsi"/>
          <w:sz w:val="24"/>
          <w:szCs w:val="24"/>
          <w:lang w:eastAsia="en-US"/>
        </w:rPr>
        <w:t xml:space="preserve">Пояснения администрации </w:t>
      </w:r>
      <w:proofErr w:type="gramStart"/>
      <w:r w:rsidRPr="00B41333">
        <w:rPr>
          <w:rFonts w:eastAsiaTheme="minorHAnsi"/>
          <w:sz w:val="24"/>
          <w:szCs w:val="24"/>
          <w:lang w:eastAsia="en-US"/>
        </w:rPr>
        <w:t>г</w:t>
      </w:r>
      <w:proofErr w:type="gramEnd"/>
      <w:r w:rsidRPr="00B41333">
        <w:rPr>
          <w:rFonts w:eastAsiaTheme="minorHAnsi"/>
          <w:sz w:val="24"/>
          <w:szCs w:val="24"/>
          <w:lang w:eastAsia="en-US"/>
        </w:rPr>
        <w:t xml:space="preserve">. Сорска  по данному вопросу отражены в приложении к Отчету о результатах контрольного мероприятия. </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r w:rsidRPr="00B41333">
        <w:rPr>
          <w:rFonts w:eastAsiaTheme="minorHAnsi"/>
          <w:sz w:val="24"/>
          <w:szCs w:val="24"/>
          <w:lang w:eastAsia="en-US"/>
        </w:rPr>
        <w:t xml:space="preserve">В целом, итоги проверки показали, что при внесении изменений в Программу и выделении средств из резервного фонда администрации </w:t>
      </w:r>
      <w:proofErr w:type="gramStart"/>
      <w:r w:rsidRPr="00B41333">
        <w:rPr>
          <w:rFonts w:eastAsiaTheme="minorHAnsi"/>
          <w:sz w:val="24"/>
          <w:szCs w:val="24"/>
          <w:lang w:eastAsia="en-US"/>
        </w:rPr>
        <w:t>г</w:t>
      </w:r>
      <w:proofErr w:type="gramEnd"/>
      <w:r w:rsidRPr="00B41333">
        <w:rPr>
          <w:rFonts w:eastAsiaTheme="minorHAnsi"/>
          <w:sz w:val="24"/>
          <w:szCs w:val="24"/>
          <w:lang w:eastAsia="en-US"/>
        </w:rPr>
        <w:t xml:space="preserve">. Сорска в ряде случаев были допущены нарушения действующих на территории МО г. Сорск нормативных правовых актов; не был произведен возврат финансовых средств, выделенных на приобретение угля по Соглашению от 27.10.2016г №187/16 между администрацией г. Сорска и МУП «Коммунальные системы».   </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r w:rsidRPr="00B41333">
        <w:rPr>
          <w:rFonts w:eastAsiaTheme="minorHAnsi"/>
          <w:sz w:val="24"/>
          <w:szCs w:val="24"/>
          <w:lang w:eastAsia="en-US"/>
        </w:rPr>
        <w:t>Необходимо отметить, что нормами Федерального Закона от 06.10.2003 №131-ФЗ (ред. от 28.12.2016) «Об общих принципах организации местного самоуправления в Российской Федерации» определено, что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r w:rsidRPr="00B41333">
        <w:rPr>
          <w:rFonts w:eastAsiaTheme="minorHAnsi"/>
          <w:sz w:val="24"/>
          <w:szCs w:val="24"/>
          <w:lang w:eastAsia="en-US"/>
        </w:rPr>
        <w:t xml:space="preserve">Акт по результатам контрольного мероприятия направлен главе города для ознакомления и подписания, после чего в адрес контрольно-счетной палаты города Сорска поступила информация о несогласии администрации </w:t>
      </w:r>
      <w:proofErr w:type="gramStart"/>
      <w:r w:rsidRPr="00B41333">
        <w:rPr>
          <w:rFonts w:eastAsiaTheme="minorHAnsi"/>
          <w:sz w:val="24"/>
          <w:szCs w:val="24"/>
          <w:lang w:eastAsia="en-US"/>
        </w:rPr>
        <w:t>г</w:t>
      </w:r>
      <w:proofErr w:type="gramEnd"/>
      <w:r w:rsidRPr="00B41333">
        <w:rPr>
          <w:rFonts w:eastAsiaTheme="minorHAnsi"/>
          <w:sz w:val="24"/>
          <w:szCs w:val="24"/>
          <w:lang w:eastAsia="en-US"/>
        </w:rPr>
        <w:t xml:space="preserve">. Сорска по поводу некоторых итогов проверки. </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r w:rsidRPr="00B41333">
        <w:rPr>
          <w:rFonts w:eastAsiaTheme="minorHAnsi"/>
          <w:sz w:val="24"/>
          <w:szCs w:val="24"/>
          <w:lang w:eastAsia="en-US"/>
        </w:rPr>
        <w:t xml:space="preserve">По результатам изучения представленной информации, контрольно-счетной палатой было подготовлено Заключение на пояснения администрации </w:t>
      </w:r>
      <w:proofErr w:type="gramStart"/>
      <w:r w:rsidRPr="00B41333">
        <w:rPr>
          <w:rFonts w:eastAsiaTheme="minorHAnsi"/>
          <w:sz w:val="24"/>
          <w:szCs w:val="24"/>
          <w:lang w:eastAsia="en-US"/>
        </w:rPr>
        <w:t>г</w:t>
      </w:r>
      <w:proofErr w:type="gramEnd"/>
      <w:r w:rsidRPr="00B41333">
        <w:rPr>
          <w:rFonts w:eastAsiaTheme="minorHAnsi"/>
          <w:sz w:val="24"/>
          <w:szCs w:val="24"/>
          <w:lang w:eastAsia="en-US"/>
        </w:rPr>
        <w:t>. Сорска, результаты которого использованы при подготовке Отчета</w:t>
      </w:r>
      <w:r w:rsidR="00866757" w:rsidRPr="00B41333">
        <w:rPr>
          <w:rFonts w:eastAsiaTheme="minorHAnsi"/>
          <w:sz w:val="24"/>
          <w:szCs w:val="24"/>
          <w:lang w:eastAsia="en-US"/>
        </w:rPr>
        <w:t xml:space="preserve"> о результатах контрольного мероприятия</w:t>
      </w:r>
      <w:r w:rsidRPr="00B41333">
        <w:rPr>
          <w:rFonts w:eastAsiaTheme="minorHAnsi"/>
          <w:sz w:val="24"/>
          <w:szCs w:val="24"/>
          <w:lang w:eastAsia="en-US"/>
        </w:rPr>
        <w:t xml:space="preserve">.  </w:t>
      </w:r>
    </w:p>
    <w:p w:rsidR="00B21DB7" w:rsidRPr="00B41333" w:rsidRDefault="00B21DB7" w:rsidP="00B21DB7">
      <w:pPr>
        <w:autoSpaceDE w:val="0"/>
        <w:autoSpaceDN w:val="0"/>
        <w:adjustRightInd w:val="0"/>
        <w:spacing w:line="240" w:lineRule="auto"/>
        <w:ind w:firstLine="540"/>
        <w:rPr>
          <w:rFonts w:eastAsiaTheme="minorHAnsi"/>
          <w:sz w:val="24"/>
          <w:szCs w:val="24"/>
          <w:lang w:eastAsia="en-US"/>
        </w:rPr>
      </w:pPr>
      <w:proofErr w:type="gramStart"/>
      <w:r w:rsidRPr="00B41333">
        <w:rPr>
          <w:rFonts w:eastAsiaTheme="minorHAnsi"/>
          <w:sz w:val="24"/>
          <w:szCs w:val="24"/>
          <w:lang w:eastAsia="en-US"/>
        </w:rPr>
        <w:t>В связи с вышеизложенным, контрольно-счетн</w:t>
      </w:r>
      <w:r w:rsidR="00C4323D" w:rsidRPr="00B41333">
        <w:rPr>
          <w:rFonts w:eastAsiaTheme="minorHAnsi"/>
          <w:sz w:val="24"/>
          <w:szCs w:val="24"/>
          <w:lang w:eastAsia="en-US"/>
        </w:rPr>
        <w:t>ой</w:t>
      </w:r>
      <w:r w:rsidRPr="00B41333">
        <w:rPr>
          <w:rFonts w:eastAsiaTheme="minorHAnsi"/>
          <w:sz w:val="24"/>
          <w:szCs w:val="24"/>
          <w:lang w:eastAsia="en-US"/>
        </w:rPr>
        <w:t xml:space="preserve"> палат</w:t>
      </w:r>
      <w:r w:rsidR="00C4323D" w:rsidRPr="00B41333">
        <w:rPr>
          <w:rFonts w:eastAsiaTheme="minorHAnsi"/>
          <w:sz w:val="24"/>
          <w:szCs w:val="24"/>
          <w:lang w:eastAsia="en-US"/>
        </w:rPr>
        <w:t>ой было рекомендовано:</w:t>
      </w:r>
      <w:proofErr w:type="gramEnd"/>
    </w:p>
    <w:p w:rsidR="00B21DB7" w:rsidRPr="00B41333" w:rsidRDefault="00B21DB7" w:rsidP="00B21DB7">
      <w:pPr>
        <w:pStyle w:val="a3"/>
        <w:numPr>
          <w:ilvl w:val="0"/>
          <w:numId w:val="2"/>
        </w:numPr>
        <w:autoSpaceDE w:val="0"/>
        <w:autoSpaceDN w:val="0"/>
        <w:adjustRightInd w:val="0"/>
        <w:spacing w:line="240" w:lineRule="auto"/>
        <w:rPr>
          <w:rFonts w:eastAsiaTheme="minorHAnsi"/>
          <w:sz w:val="24"/>
          <w:szCs w:val="24"/>
          <w:lang w:eastAsia="en-US"/>
        </w:rPr>
      </w:pPr>
      <w:r w:rsidRPr="00B41333">
        <w:rPr>
          <w:rFonts w:eastAsiaTheme="minorHAnsi"/>
          <w:sz w:val="24"/>
          <w:szCs w:val="24"/>
          <w:lang w:eastAsia="en-US"/>
        </w:rPr>
        <w:t xml:space="preserve">ответственным исполнителям муниципальных программ своевременно вносить изменения в действующие программы в соответствии с Бюджетным Кодексом РФ и Порядком </w:t>
      </w:r>
      <w:r w:rsidRPr="00B41333">
        <w:rPr>
          <w:sz w:val="24"/>
          <w:szCs w:val="24"/>
        </w:rPr>
        <w:t>разработки, утверждения, реализации и оценки эффективности муниципальных программ МО г. Сорск;</w:t>
      </w:r>
    </w:p>
    <w:p w:rsidR="00B21DB7" w:rsidRPr="00B41333" w:rsidRDefault="00B21DB7" w:rsidP="00B21DB7">
      <w:pPr>
        <w:pStyle w:val="a3"/>
        <w:numPr>
          <w:ilvl w:val="0"/>
          <w:numId w:val="2"/>
        </w:numPr>
        <w:autoSpaceDE w:val="0"/>
        <w:autoSpaceDN w:val="0"/>
        <w:adjustRightInd w:val="0"/>
        <w:spacing w:line="240" w:lineRule="auto"/>
        <w:rPr>
          <w:rFonts w:eastAsiaTheme="minorHAnsi"/>
          <w:sz w:val="24"/>
          <w:szCs w:val="24"/>
          <w:lang w:eastAsia="en-US"/>
        </w:rPr>
      </w:pPr>
      <w:r w:rsidRPr="00B41333">
        <w:rPr>
          <w:sz w:val="24"/>
          <w:szCs w:val="24"/>
        </w:rPr>
        <w:t>финансовому отделу администрации г. Сорска при подготовке постановления о выделении средств из резервного фонда администрации г. Сорска соблюдать п.6 Порядка использования бюджетных ассигнований резервного фонда администрации г</w:t>
      </w:r>
      <w:proofErr w:type="gramStart"/>
      <w:r w:rsidRPr="00B41333">
        <w:rPr>
          <w:sz w:val="24"/>
          <w:szCs w:val="24"/>
        </w:rPr>
        <w:t>.С</w:t>
      </w:r>
      <w:proofErr w:type="gramEnd"/>
      <w:r w:rsidRPr="00B41333">
        <w:rPr>
          <w:sz w:val="24"/>
          <w:szCs w:val="24"/>
        </w:rPr>
        <w:t>орска;</w:t>
      </w:r>
    </w:p>
    <w:p w:rsidR="00B21DB7" w:rsidRPr="00B41333" w:rsidRDefault="00B21DB7" w:rsidP="00B21DB7">
      <w:pPr>
        <w:pStyle w:val="a3"/>
        <w:numPr>
          <w:ilvl w:val="0"/>
          <w:numId w:val="2"/>
        </w:numPr>
        <w:autoSpaceDE w:val="0"/>
        <w:autoSpaceDN w:val="0"/>
        <w:adjustRightInd w:val="0"/>
        <w:spacing w:line="240" w:lineRule="auto"/>
        <w:rPr>
          <w:rFonts w:eastAsiaTheme="minorHAnsi"/>
          <w:sz w:val="24"/>
          <w:szCs w:val="24"/>
          <w:lang w:eastAsia="en-US"/>
        </w:rPr>
      </w:pPr>
      <w:r w:rsidRPr="00B41333">
        <w:rPr>
          <w:sz w:val="24"/>
          <w:szCs w:val="24"/>
        </w:rPr>
        <w:t>администрации города Сорска при выделении средств из резервного фонда руководствоваться разработанным и утвержденным Порядком использования бюджетных ассигнований резервного фонда администрации г</w:t>
      </w:r>
      <w:proofErr w:type="gramStart"/>
      <w:r w:rsidRPr="00B41333">
        <w:rPr>
          <w:sz w:val="24"/>
          <w:szCs w:val="24"/>
        </w:rPr>
        <w:t>.С</w:t>
      </w:r>
      <w:proofErr w:type="gramEnd"/>
      <w:r w:rsidRPr="00B41333">
        <w:rPr>
          <w:sz w:val="24"/>
          <w:szCs w:val="24"/>
        </w:rPr>
        <w:t>орска, не допускать несоблюдения нормативных правовых актов, действующих на территории муниципального образования город Сорск;</w:t>
      </w:r>
    </w:p>
    <w:p w:rsidR="00C4323D" w:rsidRPr="00B41333" w:rsidRDefault="00B21DB7" w:rsidP="00866757">
      <w:pPr>
        <w:pStyle w:val="a3"/>
        <w:numPr>
          <w:ilvl w:val="0"/>
          <w:numId w:val="2"/>
        </w:numPr>
        <w:spacing w:line="240" w:lineRule="auto"/>
        <w:ind w:right="-1"/>
        <w:rPr>
          <w:rFonts w:eastAsiaTheme="minorHAnsi"/>
          <w:sz w:val="24"/>
          <w:szCs w:val="24"/>
          <w:lang w:eastAsia="en-US"/>
        </w:rPr>
      </w:pPr>
      <w:r w:rsidRPr="00B41333">
        <w:rPr>
          <w:rFonts w:eastAsiaTheme="minorHAnsi"/>
          <w:sz w:val="24"/>
          <w:szCs w:val="24"/>
          <w:lang w:eastAsia="en-US"/>
        </w:rPr>
        <w:t xml:space="preserve">администрации </w:t>
      </w:r>
      <w:proofErr w:type="gramStart"/>
      <w:r w:rsidRPr="00B41333">
        <w:rPr>
          <w:rFonts w:eastAsiaTheme="minorHAnsi"/>
          <w:sz w:val="24"/>
          <w:szCs w:val="24"/>
          <w:lang w:eastAsia="en-US"/>
        </w:rPr>
        <w:t>г</w:t>
      </w:r>
      <w:proofErr w:type="gramEnd"/>
      <w:r w:rsidRPr="00B41333">
        <w:rPr>
          <w:rFonts w:eastAsiaTheme="minorHAnsi"/>
          <w:sz w:val="24"/>
          <w:szCs w:val="24"/>
          <w:lang w:eastAsia="en-US"/>
        </w:rPr>
        <w:t>. Сорска при отсутствии бюджетных средств на финансирование муниципальных программ изыскивать возможность переноса средств внутри бюджета, минуя использование резервного фонда на мероприятия, имеющие текущий характер.</w:t>
      </w:r>
    </w:p>
    <w:p w:rsidR="00A73222" w:rsidRDefault="00A73222" w:rsidP="00866757">
      <w:pPr>
        <w:spacing w:line="240" w:lineRule="auto"/>
        <w:ind w:right="-1"/>
        <w:rPr>
          <w:sz w:val="24"/>
          <w:szCs w:val="24"/>
        </w:rPr>
      </w:pPr>
    </w:p>
    <w:p w:rsidR="00B21DB7" w:rsidRPr="00B41333" w:rsidRDefault="00B21DB7" w:rsidP="00866757">
      <w:pPr>
        <w:spacing w:line="240" w:lineRule="auto"/>
        <w:ind w:right="-1"/>
        <w:rPr>
          <w:bCs/>
          <w:sz w:val="24"/>
          <w:szCs w:val="24"/>
        </w:rPr>
      </w:pPr>
      <w:r w:rsidRPr="00B41333">
        <w:rPr>
          <w:sz w:val="24"/>
          <w:szCs w:val="24"/>
        </w:rPr>
        <w:t xml:space="preserve">Отчет о результатах контрольного мероприятия </w:t>
      </w:r>
      <w:r w:rsidRPr="00B41333">
        <w:rPr>
          <w:bCs/>
          <w:sz w:val="24"/>
          <w:szCs w:val="24"/>
        </w:rPr>
        <w:t>утвержден Председателем контрольно-</w:t>
      </w:r>
      <w:r w:rsidR="00C4323D" w:rsidRPr="00B41333">
        <w:rPr>
          <w:bCs/>
          <w:sz w:val="24"/>
          <w:szCs w:val="24"/>
        </w:rPr>
        <w:t>счетной палат</w:t>
      </w:r>
      <w:r w:rsidR="00866757" w:rsidRPr="00B41333">
        <w:rPr>
          <w:bCs/>
          <w:sz w:val="24"/>
          <w:szCs w:val="24"/>
        </w:rPr>
        <w:t>ы</w:t>
      </w:r>
      <w:r w:rsidRPr="00B41333">
        <w:rPr>
          <w:bCs/>
          <w:sz w:val="24"/>
          <w:szCs w:val="24"/>
        </w:rPr>
        <w:t xml:space="preserve"> города Сорска «</w:t>
      </w:r>
      <w:r w:rsidR="00C4323D" w:rsidRPr="00B41333">
        <w:rPr>
          <w:bCs/>
          <w:sz w:val="24"/>
          <w:szCs w:val="24"/>
        </w:rPr>
        <w:t>04</w:t>
      </w:r>
      <w:r w:rsidRPr="00B41333">
        <w:rPr>
          <w:bCs/>
          <w:sz w:val="24"/>
          <w:szCs w:val="24"/>
        </w:rPr>
        <w:t xml:space="preserve">» </w:t>
      </w:r>
      <w:r w:rsidR="00C4323D" w:rsidRPr="00B41333">
        <w:rPr>
          <w:bCs/>
          <w:sz w:val="24"/>
          <w:szCs w:val="24"/>
        </w:rPr>
        <w:t xml:space="preserve">апреля </w:t>
      </w:r>
      <w:r w:rsidRPr="00B41333">
        <w:rPr>
          <w:bCs/>
          <w:sz w:val="24"/>
          <w:szCs w:val="24"/>
        </w:rPr>
        <w:t>20</w:t>
      </w:r>
      <w:r w:rsidR="00C4323D" w:rsidRPr="00B41333">
        <w:rPr>
          <w:bCs/>
          <w:sz w:val="24"/>
          <w:szCs w:val="24"/>
        </w:rPr>
        <w:t>17</w:t>
      </w:r>
      <w:r w:rsidRPr="00B41333">
        <w:rPr>
          <w:bCs/>
          <w:sz w:val="24"/>
          <w:szCs w:val="24"/>
        </w:rPr>
        <w:t>г.</w:t>
      </w:r>
    </w:p>
    <w:p w:rsidR="00C4323D" w:rsidRPr="00B41333" w:rsidRDefault="00C4323D" w:rsidP="00866757">
      <w:pPr>
        <w:spacing w:line="240" w:lineRule="auto"/>
        <w:ind w:right="-1" w:firstLine="0"/>
        <w:rPr>
          <w:sz w:val="24"/>
          <w:szCs w:val="24"/>
        </w:rPr>
      </w:pPr>
    </w:p>
    <w:p w:rsidR="00C4323D" w:rsidRPr="00B41333" w:rsidRDefault="00C4323D" w:rsidP="00866757">
      <w:pPr>
        <w:spacing w:line="240" w:lineRule="auto"/>
        <w:ind w:right="-1" w:firstLine="0"/>
        <w:jc w:val="right"/>
        <w:rPr>
          <w:sz w:val="24"/>
          <w:szCs w:val="24"/>
        </w:rPr>
      </w:pPr>
    </w:p>
    <w:p w:rsidR="00C4323D" w:rsidRPr="00B41333" w:rsidRDefault="00C4323D" w:rsidP="00866757">
      <w:pPr>
        <w:spacing w:line="240" w:lineRule="auto"/>
        <w:ind w:right="-1" w:firstLine="0"/>
        <w:jc w:val="right"/>
        <w:rPr>
          <w:sz w:val="24"/>
          <w:szCs w:val="24"/>
        </w:rPr>
      </w:pPr>
    </w:p>
    <w:p w:rsidR="00767766" w:rsidRPr="00B41333" w:rsidRDefault="00B21DB7" w:rsidP="00866757">
      <w:pPr>
        <w:spacing w:line="240" w:lineRule="auto"/>
        <w:ind w:right="-1" w:firstLine="0"/>
        <w:jc w:val="right"/>
        <w:rPr>
          <w:sz w:val="24"/>
          <w:szCs w:val="24"/>
        </w:rPr>
      </w:pPr>
      <w:r w:rsidRPr="00B41333">
        <w:rPr>
          <w:sz w:val="24"/>
          <w:szCs w:val="24"/>
        </w:rPr>
        <w:t>Председатель</w:t>
      </w:r>
      <w:r w:rsidR="00C4323D" w:rsidRPr="00B41333">
        <w:rPr>
          <w:sz w:val="24"/>
          <w:szCs w:val="24"/>
        </w:rPr>
        <w:t xml:space="preserve"> </w:t>
      </w:r>
      <w:r w:rsidRPr="00B41333">
        <w:rPr>
          <w:sz w:val="24"/>
          <w:szCs w:val="24"/>
        </w:rPr>
        <w:t>контрольно-</w:t>
      </w:r>
      <w:r w:rsidR="00C4323D" w:rsidRPr="00B41333">
        <w:rPr>
          <w:sz w:val="24"/>
          <w:szCs w:val="24"/>
        </w:rPr>
        <w:t>счетной палаты</w:t>
      </w:r>
      <w:r w:rsidRPr="00B41333">
        <w:rPr>
          <w:sz w:val="24"/>
          <w:szCs w:val="24"/>
        </w:rPr>
        <w:t xml:space="preserve"> города Сорска </w:t>
      </w:r>
      <w:r w:rsidR="004E3926">
        <w:rPr>
          <w:sz w:val="24"/>
          <w:szCs w:val="24"/>
        </w:rPr>
        <w:t xml:space="preserve">                 </w:t>
      </w:r>
      <w:r w:rsidRPr="00B41333">
        <w:rPr>
          <w:sz w:val="24"/>
          <w:szCs w:val="24"/>
        </w:rPr>
        <w:t xml:space="preserve">     </w:t>
      </w:r>
      <w:r w:rsidR="00C4323D" w:rsidRPr="00B41333">
        <w:rPr>
          <w:sz w:val="24"/>
          <w:szCs w:val="24"/>
        </w:rPr>
        <w:t>Л.В. Абрамченко</w:t>
      </w:r>
    </w:p>
    <w:sectPr w:rsidR="00767766" w:rsidRPr="00B41333" w:rsidSect="00A73222">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4322A"/>
    <w:multiLevelType w:val="hybridMultilevel"/>
    <w:tmpl w:val="123CDD5E"/>
    <w:lvl w:ilvl="0" w:tplc="D69EE7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B6652F0"/>
    <w:multiLevelType w:val="hybridMultilevel"/>
    <w:tmpl w:val="C116FA74"/>
    <w:lvl w:ilvl="0" w:tplc="A46AE8CE">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1DB7"/>
    <w:rsid w:val="004E3926"/>
    <w:rsid w:val="00767766"/>
    <w:rsid w:val="00866757"/>
    <w:rsid w:val="00A73222"/>
    <w:rsid w:val="00B21DB7"/>
    <w:rsid w:val="00B41333"/>
    <w:rsid w:val="00C432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B7"/>
    <w:pPr>
      <w:spacing w:after="0" w:line="360" w:lineRule="auto"/>
      <w:ind w:firstLine="709"/>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B21DB7"/>
    <w:pPr>
      <w:spacing w:line="240" w:lineRule="auto"/>
      <w:ind w:firstLine="0"/>
      <w:jc w:val="center"/>
      <w:outlineLvl w:val="1"/>
    </w:pPr>
    <w:rPr>
      <w:b/>
      <w:caps/>
      <w:snapToGrid w:val="0"/>
      <w:szCs w:val="28"/>
    </w:rPr>
  </w:style>
  <w:style w:type="paragraph" w:styleId="3">
    <w:name w:val="heading 3"/>
    <w:basedOn w:val="a"/>
    <w:next w:val="a"/>
    <w:link w:val="30"/>
    <w:qFormat/>
    <w:rsid w:val="00B21DB7"/>
    <w:pPr>
      <w:spacing w:line="240" w:lineRule="auto"/>
      <w:ind w:firstLine="0"/>
      <w:jc w:val="center"/>
      <w:outlineLvl w:val="2"/>
    </w:pPr>
    <w:rPr>
      <w:b/>
      <w:snapToGrid w:val="0"/>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21DB7"/>
    <w:rPr>
      <w:rFonts w:ascii="Times New Roman" w:eastAsia="Times New Roman" w:hAnsi="Times New Roman" w:cs="Times New Roman"/>
      <w:b/>
      <w:caps/>
      <w:snapToGrid w:val="0"/>
      <w:sz w:val="28"/>
      <w:szCs w:val="28"/>
      <w:lang w:eastAsia="ru-RU"/>
    </w:rPr>
  </w:style>
  <w:style w:type="character" w:customStyle="1" w:styleId="30">
    <w:name w:val="Заголовок 3 Знак"/>
    <w:basedOn w:val="a0"/>
    <w:link w:val="3"/>
    <w:rsid w:val="00B21DB7"/>
    <w:rPr>
      <w:rFonts w:ascii="Times New Roman" w:eastAsia="Times New Roman" w:hAnsi="Times New Roman" w:cs="Times New Roman"/>
      <w:b/>
      <w:snapToGrid w:val="0"/>
      <w:sz w:val="28"/>
      <w:szCs w:val="28"/>
      <w:lang/>
    </w:rPr>
  </w:style>
  <w:style w:type="paragraph" w:styleId="a3">
    <w:name w:val="List Paragraph"/>
    <w:basedOn w:val="a"/>
    <w:uiPriority w:val="34"/>
    <w:qFormat/>
    <w:rsid w:val="00B21D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1604</Words>
  <Characters>9148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Люда</cp:lastModifiedBy>
  <cp:revision>1</cp:revision>
  <cp:lastPrinted>2017-11-15T02:27:00Z</cp:lastPrinted>
  <dcterms:created xsi:type="dcterms:W3CDTF">2017-11-15T01:32:00Z</dcterms:created>
  <dcterms:modified xsi:type="dcterms:W3CDTF">2017-11-15T02:32:00Z</dcterms:modified>
</cp:coreProperties>
</file>