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33"/>
        <w:gridCol w:w="1441"/>
        <w:gridCol w:w="3221"/>
      </w:tblGrid>
      <w:tr w:rsidR="004A71B6" w:rsidTr="004A71B6">
        <w:trPr>
          <w:trHeight w:val="1134"/>
        </w:trPr>
        <w:tc>
          <w:tcPr>
            <w:tcW w:w="4835" w:type="dxa"/>
            <w:hideMark/>
          </w:tcPr>
          <w:p w:rsidR="004A71B6" w:rsidRDefault="004A71B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4A71B6" w:rsidRDefault="004A71B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4A71B6" w:rsidRDefault="004A71B6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4A71B6" w:rsidRDefault="004A71B6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441" w:type="dxa"/>
            <w:hideMark/>
          </w:tcPr>
          <w:p w:rsidR="004A71B6" w:rsidRDefault="004A71B6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5640" cy="705485"/>
                  <wp:effectExtent l="0" t="0" r="0" b="0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  <w:hideMark/>
          </w:tcPr>
          <w:p w:rsidR="004A71B6" w:rsidRDefault="004A71B6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4A71B6" w:rsidRDefault="004A71B6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4A71B6" w:rsidRDefault="004A71B6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4A71B6" w:rsidRDefault="004A71B6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4A71B6" w:rsidRDefault="004A71B6" w:rsidP="004A7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4A71B6" w:rsidRDefault="004A71B6" w:rsidP="004A7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4A71B6" w:rsidTr="004A71B6">
        <w:trPr>
          <w:trHeight w:val="533"/>
        </w:trPr>
        <w:tc>
          <w:tcPr>
            <w:tcW w:w="4601" w:type="dxa"/>
            <w:hideMark/>
          </w:tcPr>
          <w:p w:rsidR="004A71B6" w:rsidRDefault="004A71B6" w:rsidP="004A7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eastAsia="en-US"/>
              </w:rPr>
              <w:t>17 июня 2022 года</w:t>
            </w:r>
          </w:p>
        </w:tc>
        <w:tc>
          <w:tcPr>
            <w:tcW w:w="1495" w:type="dxa"/>
          </w:tcPr>
          <w:p w:rsidR="004A71B6" w:rsidRDefault="004A71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4A71B6" w:rsidRDefault="004A71B6" w:rsidP="004A71B6">
            <w:pPr>
              <w:keepNext/>
              <w:spacing w:after="0" w:line="240" w:lineRule="auto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3/26-5</w:t>
            </w:r>
          </w:p>
        </w:tc>
      </w:tr>
      <w:tr w:rsidR="004A71B6" w:rsidTr="004A71B6">
        <w:trPr>
          <w:cantSplit/>
          <w:trHeight w:val="385"/>
        </w:trPr>
        <w:tc>
          <w:tcPr>
            <w:tcW w:w="10875" w:type="dxa"/>
            <w:gridSpan w:val="3"/>
          </w:tcPr>
          <w:p w:rsidR="004A71B6" w:rsidRDefault="004A7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4A71B6" w:rsidRDefault="004A71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4A71B6" w:rsidRDefault="004A71B6" w:rsidP="004A71B6">
      <w:pPr>
        <w:spacing w:after="0" w:line="240" w:lineRule="auto"/>
        <w:rPr>
          <w:rFonts w:eastAsiaTheme="minorHAnsi"/>
          <w:lang w:eastAsia="en-US"/>
        </w:rPr>
      </w:pPr>
    </w:p>
    <w:p w:rsidR="004A71B6" w:rsidRDefault="004A71B6" w:rsidP="004A71B6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О группе контроля за использованием Государственной автоматизированной системы Российской Федерации «Выборы» при проведении 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выборов депутатов Совета депутатов города Сорска </w:t>
      </w:r>
      <w:r w:rsidR="00947E3A">
        <w:rPr>
          <w:rFonts w:ascii="Times New Roman" w:hAnsi="Times New Roman" w:cs="Times New Roman"/>
          <w:b/>
          <w:sz w:val="28"/>
        </w:rPr>
        <w:t>Республики</w:t>
      </w:r>
      <w:proofErr w:type="gramEnd"/>
      <w:r w:rsidR="00947E3A">
        <w:rPr>
          <w:rFonts w:ascii="Times New Roman" w:hAnsi="Times New Roman" w:cs="Times New Roman"/>
          <w:b/>
          <w:sz w:val="28"/>
        </w:rPr>
        <w:t xml:space="preserve"> Хакасия </w:t>
      </w:r>
      <w:r>
        <w:rPr>
          <w:rFonts w:ascii="Times New Roman" w:hAnsi="Times New Roman" w:cs="Times New Roman"/>
          <w:b/>
          <w:sz w:val="28"/>
        </w:rPr>
        <w:t>седьмого созыва по одномандатным избирательным округам</w:t>
      </w:r>
    </w:p>
    <w:p w:rsidR="004A71B6" w:rsidRDefault="004A71B6" w:rsidP="004A71B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4A71B6" w:rsidRDefault="004A71B6" w:rsidP="004A71B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статьей 23 Федерального закона                                «О Государственной автоматизированной системе Российской Федерации «Выборы», пунктом 3 статьи 74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4A71B6" w:rsidRDefault="004A71B6" w:rsidP="004A71B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Образовать группу контроля территориальной избирательной комиссии города Сорска за использованием Государственной автоматизированной системы Российской Федерации «Выборы» при проведении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выборов депутатов Совета депутатов города Сорска</w:t>
      </w:r>
      <w:r w:rsidR="00947E3A">
        <w:rPr>
          <w:rFonts w:ascii="Times New Roman" w:hAnsi="Times New Roman" w:cs="Times New Roman"/>
          <w:sz w:val="28"/>
          <w:szCs w:val="28"/>
        </w:rPr>
        <w:t xml:space="preserve"> Республики</w:t>
      </w:r>
      <w:proofErr w:type="gramEnd"/>
      <w:r w:rsidR="00947E3A">
        <w:rPr>
          <w:rFonts w:ascii="Times New Roman" w:hAnsi="Times New Roman" w:cs="Times New Roman"/>
          <w:sz w:val="28"/>
          <w:szCs w:val="28"/>
        </w:rPr>
        <w:t xml:space="preserve"> Хакасия</w:t>
      </w:r>
      <w:r>
        <w:rPr>
          <w:rFonts w:ascii="Times New Roman" w:hAnsi="Times New Roman" w:cs="Times New Roman"/>
          <w:sz w:val="28"/>
          <w:szCs w:val="28"/>
        </w:rPr>
        <w:t xml:space="preserve"> седьмого созыва по одномандатным избирательным округам и  утвердить ее состав согласно приложению.</w:t>
      </w:r>
    </w:p>
    <w:p w:rsidR="004A71B6" w:rsidRDefault="004A71B6" w:rsidP="004A71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tbl>
      <w:tblPr>
        <w:tblW w:w="14468" w:type="dxa"/>
        <w:tblInd w:w="-12" w:type="dxa"/>
        <w:tblLook w:val="04A0" w:firstRow="1" w:lastRow="0" w:firstColumn="1" w:lastColumn="0" w:noHBand="0" w:noVBand="1"/>
      </w:tblPr>
      <w:tblGrid>
        <w:gridCol w:w="9618"/>
        <w:gridCol w:w="4850"/>
      </w:tblGrid>
      <w:tr w:rsidR="004A71B6" w:rsidTr="004A71B6">
        <w:tc>
          <w:tcPr>
            <w:tcW w:w="9618" w:type="dxa"/>
          </w:tcPr>
          <w:p w:rsidR="004A71B6" w:rsidRDefault="004A71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4A71B6" w:rsidRDefault="004A71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Председатель комиссии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Т.Н.Борисова</w:t>
            </w:r>
            <w:proofErr w:type="spellEnd"/>
          </w:p>
          <w:p w:rsidR="004A71B6" w:rsidRDefault="004A71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:rsidR="004A71B6" w:rsidRDefault="004A71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Секретарь комиссии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М.А.Марьясова</w:t>
            </w:r>
            <w:proofErr w:type="spellEnd"/>
          </w:p>
          <w:p w:rsidR="004A71B6" w:rsidRDefault="004A71B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50" w:type="dxa"/>
            <w:hideMark/>
          </w:tcPr>
          <w:p w:rsidR="004A71B6" w:rsidRDefault="004A71B6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Г.М.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Губарь</w:t>
            </w:r>
            <w:proofErr w:type="spellEnd"/>
          </w:p>
        </w:tc>
      </w:tr>
    </w:tbl>
    <w:p w:rsidR="004A71B6" w:rsidRDefault="004A71B6" w:rsidP="004A71B6"/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Приложение </w:t>
      </w:r>
    </w:p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территориальной избирательной комиссии</w:t>
      </w:r>
    </w:p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Республики Хакасии</w:t>
      </w:r>
    </w:p>
    <w:p w:rsidR="004A71B6" w:rsidRDefault="004A71B6" w:rsidP="004A71B6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17 июня 2022 года № 3/26-5</w:t>
      </w:r>
    </w:p>
    <w:p w:rsidR="004A71B6" w:rsidRDefault="004A71B6" w:rsidP="004A7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4A71B6" w:rsidRDefault="004A71B6" w:rsidP="00BE27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Состав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</w:rPr>
        <w:t>группы контроля территориальной избирательной комиссии города Сорска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за использованием Государственной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br/>
        <w:t xml:space="preserve">автоматизированной системы Российской Федерации «Выборы» при проведении выборов депутатов Совета депутатов города Сорска </w:t>
      </w:r>
      <w:r w:rsidR="00947E3A">
        <w:rPr>
          <w:rFonts w:ascii="Times New Roman" w:eastAsia="Times New Roman" w:hAnsi="Times New Roman" w:cs="Times New Roman"/>
          <w:b/>
          <w:sz w:val="28"/>
          <w:szCs w:val="20"/>
        </w:rPr>
        <w:t xml:space="preserve">Республики Хакасия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седьмого созыва</w:t>
      </w:r>
    </w:p>
    <w:p w:rsidR="004A71B6" w:rsidRDefault="004A71B6" w:rsidP="004A71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2"/>
        <w:gridCol w:w="6098"/>
      </w:tblGrid>
      <w:tr w:rsidR="004A71B6" w:rsidTr="004A71B6">
        <w:tc>
          <w:tcPr>
            <w:tcW w:w="3261" w:type="dxa"/>
          </w:tcPr>
          <w:p w:rsidR="004A71B6" w:rsidRDefault="004A71B6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Ивашкин Сергей Александрович</w:t>
            </w:r>
          </w:p>
          <w:p w:rsidR="004A71B6" w:rsidRDefault="004A71B6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</w:p>
        </w:tc>
        <w:tc>
          <w:tcPr>
            <w:tcW w:w="6095" w:type="dxa"/>
          </w:tcPr>
          <w:p w:rsidR="004A71B6" w:rsidRDefault="004A71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4A71B6" w:rsidRDefault="004A71B6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A71B6" w:rsidTr="004A71B6">
        <w:tc>
          <w:tcPr>
            <w:tcW w:w="3261" w:type="dxa"/>
            <w:hideMark/>
          </w:tcPr>
          <w:p w:rsidR="004A71B6" w:rsidRDefault="00947E3A" w:rsidP="00947E3A">
            <w:pPr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Зиброва Олеся Вячеславовна</w:t>
            </w:r>
          </w:p>
        </w:tc>
        <w:tc>
          <w:tcPr>
            <w:tcW w:w="6095" w:type="dxa"/>
          </w:tcPr>
          <w:p w:rsidR="004A71B6" w:rsidRDefault="004A71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4A71B6" w:rsidRDefault="004A71B6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A71B6" w:rsidTr="004A71B6">
        <w:tc>
          <w:tcPr>
            <w:tcW w:w="3261" w:type="dxa"/>
            <w:hideMark/>
          </w:tcPr>
          <w:p w:rsidR="004A71B6" w:rsidRDefault="004A71B6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Егорова Галина </w:t>
            </w:r>
          </w:p>
          <w:p w:rsidR="004A71B6" w:rsidRDefault="004A71B6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Юрьевна</w:t>
            </w:r>
          </w:p>
        </w:tc>
        <w:tc>
          <w:tcPr>
            <w:tcW w:w="6095" w:type="dxa"/>
          </w:tcPr>
          <w:p w:rsidR="004A71B6" w:rsidRDefault="004A71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4A71B6" w:rsidRDefault="004A71B6">
            <w:pPr>
              <w:tabs>
                <w:tab w:val="num" w:pos="450"/>
              </w:tabs>
              <w:ind w:left="34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A71B6" w:rsidTr="004A71B6">
        <w:tc>
          <w:tcPr>
            <w:tcW w:w="3261" w:type="dxa"/>
            <w:hideMark/>
          </w:tcPr>
          <w:p w:rsidR="004A71B6" w:rsidRDefault="00947E3A" w:rsidP="00947E3A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Платон Любовь Борисовна</w:t>
            </w:r>
            <w:bookmarkStart w:id="0" w:name="_GoBack"/>
            <w:bookmarkEnd w:id="0"/>
          </w:p>
        </w:tc>
        <w:tc>
          <w:tcPr>
            <w:tcW w:w="6095" w:type="dxa"/>
          </w:tcPr>
          <w:p w:rsidR="004A71B6" w:rsidRDefault="004A71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4A71B6" w:rsidRDefault="004A71B6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A71B6" w:rsidRDefault="004A71B6" w:rsidP="004A71B6"/>
    <w:p w:rsidR="002C0A4C" w:rsidRDefault="002C0A4C"/>
    <w:sectPr w:rsidR="002C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Arial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88"/>
    <w:rsid w:val="00164488"/>
    <w:rsid w:val="002C0A4C"/>
    <w:rsid w:val="004A71B6"/>
    <w:rsid w:val="00947E3A"/>
    <w:rsid w:val="00BE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1B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1B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71B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Алёна</cp:lastModifiedBy>
  <cp:revision>4</cp:revision>
  <cp:lastPrinted>2022-06-17T04:40:00Z</cp:lastPrinted>
  <dcterms:created xsi:type="dcterms:W3CDTF">2022-06-15T16:21:00Z</dcterms:created>
  <dcterms:modified xsi:type="dcterms:W3CDTF">2022-06-17T04:41:00Z</dcterms:modified>
</cp:coreProperties>
</file>