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9A557D">
        <w:rPr>
          <w:b/>
        </w:rPr>
        <w:t>2</w:t>
      </w:r>
      <w:r w:rsidR="00265A45">
        <w:rPr>
          <w:b/>
        </w:rPr>
        <w:t>2</w:t>
      </w:r>
      <w:r w:rsidRPr="00EF49A8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265A45">
        <w:t>17</w:t>
      </w:r>
      <w:r w:rsidRPr="009A557D">
        <w:rPr>
          <w:color w:val="C0504D" w:themeColor="accent2"/>
        </w:rPr>
        <w:t xml:space="preserve"> </w:t>
      </w:r>
      <w:r w:rsidR="00265A45">
        <w:t>марта</w:t>
      </w:r>
      <w:r w:rsidRPr="00EF49A8">
        <w:t xml:space="preserve"> 202</w:t>
      </w:r>
      <w:r w:rsidR="00265A45">
        <w:t>3</w:t>
      </w:r>
      <w:r>
        <w:t xml:space="preserve">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proofErr w:type="gramStart"/>
      <w:r w:rsidRPr="001E2235">
        <w:t>За отчетный период 20</w:t>
      </w:r>
      <w:r w:rsidR="0081058E">
        <w:t>2</w:t>
      </w:r>
      <w:r w:rsidR="00AA4886">
        <w:t>2</w:t>
      </w:r>
      <w:r w:rsidRPr="001E2235">
        <w:t xml:space="preserve"> года контрольно-счетной палатой города Сорска проведено </w:t>
      </w:r>
      <w:r w:rsidR="007C506D">
        <w:t>6</w:t>
      </w:r>
      <w:r w:rsidRPr="001E2235">
        <w:t xml:space="preserve"> контрольн</w:t>
      </w:r>
      <w:r w:rsidR="007C506D">
        <w:t>ых</w:t>
      </w:r>
      <w:r w:rsidR="00BF2CBB">
        <w:t xml:space="preserve"> мероприяти</w:t>
      </w:r>
      <w:r w:rsidR="007C506D">
        <w:t>й</w:t>
      </w:r>
      <w:r w:rsidRPr="001E2235">
        <w:t xml:space="preserve">, </w:t>
      </w:r>
      <w:r w:rsidR="007C506D">
        <w:t>5</w:t>
      </w:r>
      <w:r w:rsidRPr="001E2235">
        <w:t xml:space="preserve"> экспертно-аналитических мероприяти</w:t>
      </w:r>
      <w:r w:rsidR="00675DB2">
        <w:t>я</w:t>
      </w:r>
      <w:r w:rsidR="007C506D">
        <w:t>, 2</w:t>
      </w:r>
      <w:r w:rsidR="00510F9E">
        <w:t>9</w:t>
      </w:r>
      <w:r>
        <w:t xml:space="preserve">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EB075A">
        <w:t xml:space="preserve"> город</w:t>
      </w:r>
      <w:r w:rsidR="005576A8">
        <w:t xml:space="preserve"> Сорск</w:t>
      </w:r>
      <w:r w:rsidR="008578B4">
        <w:t>, проведено 12 экспертиз и подготовлено 12 заключений по проектам решений и решениям Совета депутатов города Сорска, предусматривающим расходы за счет бюджета или влияющих на формирование и исполнение бюджета города Сорска.</w:t>
      </w:r>
      <w:proofErr w:type="gramEnd"/>
    </w:p>
    <w:p w:rsidR="00D53FB7" w:rsidRPr="005576A8" w:rsidRDefault="00D53FB7" w:rsidP="00D53FB7">
      <w:pPr>
        <w:ind w:firstLine="426"/>
        <w:jc w:val="both"/>
      </w:pPr>
      <w:r>
        <w:t>Согласно утвержденному плану работы на 20</w:t>
      </w:r>
      <w:r w:rsidR="00192099">
        <w:t>2</w:t>
      </w:r>
      <w:r w:rsidR="0096082C">
        <w:t>2</w:t>
      </w:r>
      <w:r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81058E">
        <w:t>22</w:t>
      </w:r>
      <w:r w:rsidR="00FD7532">
        <w:t xml:space="preserve"> единиц.</w:t>
      </w:r>
    </w:p>
    <w:p w:rsidR="00D53FB7" w:rsidRPr="001E2235" w:rsidRDefault="00D53FB7" w:rsidP="00D53FB7">
      <w:pPr>
        <w:ind w:firstLine="426"/>
        <w:jc w:val="both"/>
      </w:pPr>
      <w:r w:rsidRPr="001E2235">
        <w:t xml:space="preserve">Проверено средств бюджета </w:t>
      </w:r>
      <w:r w:rsidR="00BC5D73">
        <w:t>города</w:t>
      </w:r>
      <w:r w:rsidRPr="001E2235">
        <w:t xml:space="preserve"> Сорск</w:t>
      </w:r>
      <w:r w:rsidR="00BC5D73">
        <w:t>а</w:t>
      </w:r>
      <w:r w:rsidRPr="001E2235">
        <w:t xml:space="preserve"> порядка </w:t>
      </w:r>
      <w:r w:rsidR="00855AFA">
        <w:t>3 685,6</w:t>
      </w:r>
      <w:r w:rsidR="0058693B">
        <w:t xml:space="preserve"> </w:t>
      </w:r>
      <w:r w:rsidRPr="001E2235">
        <w:t xml:space="preserve">млн. рублей, количество охваченных при проведении проверочных мероприятий объектов </w:t>
      </w:r>
      <w:r w:rsidRPr="005576A8">
        <w:t xml:space="preserve">– </w:t>
      </w:r>
      <w:r w:rsidR="00855AFA">
        <w:t>11</w:t>
      </w:r>
      <w:r w:rsidRPr="005576A8">
        <w:t xml:space="preserve"> единиц</w:t>
      </w:r>
      <w:r w:rsidRPr="001E2235">
        <w:t>.</w:t>
      </w:r>
    </w:p>
    <w:p w:rsidR="00CC28E4" w:rsidRPr="00CC28E4" w:rsidRDefault="00D53FB7" w:rsidP="00D53FB7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было выявлено нарушений на общую сумму </w:t>
      </w:r>
      <w:r w:rsidR="00E13090" w:rsidRPr="00E746D4">
        <w:t>1</w:t>
      </w:r>
      <w:r w:rsidR="00EC0C3F">
        <w:t>3</w:t>
      </w:r>
      <w:r w:rsidR="00E13090" w:rsidRPr="00E746D4">
        <w:t>,</w:t>
      </w:r>
      <w:r w:rsidR="00EC0C3F">
        <w:t>4</w:t>
      </w:r>
      <w:r w:rsidR="00380845" w:rsidRPr="00E13090">
        <w:rPr>
          <w:color w:val="FF0000"/>
        </w:rPr>
        <w:t xml:space="preserve"> </w:t>
      </w:r>
      <w:r w:rsidR="00380845">
        <w:t>млн</w:t>
      </w:r>
      <w:r w:rsidRPr="001E2235">
        <w:t>. рублей, в том числе:</w:t>
      </w:r>
    </w:p>
    <w:p w:rsidR="00CC28E4" w:rsidRPr="001E2235" w:rsidRDefault="00D53FB7" w:rsidP="00D53FB7">
      <w:pPr>
        <w:ind w:firstLine="426"/>
        <w:jc w:val="both"/>
      </w:pPr>
      <w:r w:rsidRPr="001E2235">
        <w:t xml:space="preserve">-нарушения при формировании бюджетов – </w:t>
      </w:r>
      <w:r w:rsidR="00674586" w:rsidRPr="00E746D4">
        <w:t>1</w:t>
      </w:r>
      <w:r w:rsidR="00EC0C3F">
        <w:t>3</w:t>
      </w:r>
      <w:r w:rsidR="00E57B50" w:rsidRPr="00E746D4">
        <w:t>,</w:t>
      </w:r>
      <w:r w:rsidR="00EC0C3F">
        <w:t>3</w:t>
      </w:r>
      <w:r w:rsidR="00651066">
        <w:t xml:space="preserve"> </w:t>
      </w:r>
      <w:r w:rsidR="00E57B50">
        <w:t>млн</w:t>
      </w:r>
      <w:r w:rsidRPr="001E2235">
        <w:t>. рублей;</w:t>
      </w:r>
    </w:p>
    <w:p w:rsidR="00D53FB7" w:rsidRPr="00534787" w:rsidRDefault="00D53FB7" w:rsidP="00D53FB7">
      <w:pPr>
        <w:ind w:firstLine="426"/>
        <w:jc w:val="both"/>
      </w:pPr>
      <w:r>
        <w:t>-</w:t>
      </w:r>
      <w:r w:rsidRPr="00534787">
        <w:t xml:space="preserve">нарушения </w:t>
      </w:r>
      <w:r w:rsidR="00F33D63" w:rsidRPr="00534787">
        <w:t>Бюджетного</w:t>
      </w:r>
      <w:r w:rsidRPr="00534787">
        <w:t xml:space="preserve"> </w:t>
      </w:r>
      <w:r w:rsidR="00F33D63" w:rsidRPr="00534787">
        <w:t>Кодекса РФ в сфере разработки и утверждения муниципальных программ</w:t>
      </w:r>
      <w:r w:rsidRPr="00534787">
        <w:t xml:space="preserve">– </w:t>
      </w:r>
      <w:r w:rsidR="00287DE5">
        <w:t>0,0</w:t>
      </w:r>
      <w:r w:rsidR="00EC0C3F">
        <w:t>4</w:t>
      </w:r>
      <w:r w:rsidR="00F33D63" w:rsidRPr="00334122">
        <w:rPr>
          <w:color w:val="FF0000"/>
        </w:rPr>
        <w:t xml:space="preserve"> </w:t>
      </w:r>
      <w:r w:rsidR="00F33D63" w:rsidRPr="00534787">
        <w:t>млн</w:t>
      </w:r>
      <w:r w:rsidRPr="00534787">
        <w:t>. рублей</w:t>
      </w:r>
      <w:r w:rsidR="005576A8" w:rsidRPr="00534787">
        <w:t>.</w:t>
      </w:r>
    </w:p>
    <w:p w:rsidR="00D53FB7" w:rsidRPr="00534787" w:rsidRDefault="00D53FB7" w:rsidP="00D53FB7">
      <w:pPr>
        <w:ind w:right="-5" w:firstLine="426"/>
        <w:jc w:val="both"/>
      </w:pPr>
      <w:r w:rsidRPr="00534787">
        <w:t xml:space="preserve">В рамках плановых мероприятий были проведены контрольные проверки по </w:t>
      </w:r>
      <w:r w:rsidR="007D5643" w:rsidRPr="00534787">
        <w:t xml:space="preserve">оценке планирования и </w:t>
      </w:r>
      <w:r w:rsidRPr="00534787">
        <w:t>расходования средств местного бюджета</w:t>
      </w:r>
      <w:r w:rsidR="007D5643" w:rsidRPr="00534787">
        <w:t xml:space="preserve"> при его исполнении</w:t>
      </w:r>
      <w:r w:rsidRPr="00534787">
        <w:t xml:space="preserve">, внеплановых мероприятий не проводилось. </w:t>
      </w:r>
    </w:p>
    <w:p w:rsidR="00D53FB7" w:rsidRDefault="00D53FB7" w:rsidP="00D53FB7">
      <w:pPr>
        <w:ind w:firstLine="426"/>
        <w:jc w:val="both"/>
      </w:pPr>
      <w:r w:rsidRPr="003B6423">
        <w:t>В текущем периоде 20</w:t>
      </w:r>
      <w:r w:rsidR="008D1F89" w:rsidRPr="003B6423">
        <w:t>2</w:t>
      </w:r>
      <w:r w:rsidR="00EC0C3F">
        <w:t>2 года проведено</w:t>
      </w:r>
      <w:r w:rsidRPr="003B6423">
        <w:t xml:space="preserve"> </w:t>
      </w:r>
      <w:r w:rsidR="00EC0C3F">
        <w:t>5</w:t>
      </w:r>
      <w:r w:rsidRPr="003B6423">
        <w:t xml:space="preserve"> экспертно-аналитически</w:t>
      </w:r>
      <w:r w:rsidR="003169C7" w:rsidRPr="003B6423">
        <w:t>е</w:t>
      </w:r>
      <w:r w:rsidRPr="003B6423">
        <w:t xml:space="preserve"> мероприяти</w:t>
      </w:r>
      <w:r w:rsidR="008C5432" w:rsidRPr="003B6423">
        <w:t>я</w:t>
      </w:r>
      <w:r w:rsidRPr="003B6423">
        <w:t>:</w:t>
      </w:r>
    </w:p>
    <w:p w:rsidR="00660827" w:rsidRDefault="00660827" w:rsidP="00D53FB7">
      <w:pPr>
        <w:ind w:firstLine="426"/>
        <w:jc w:val="both"/>
      </w:pPr>
    </w:p>
    <w:p w:rsidR="00A93600" w:rsidRDefault="001E531A" w:rsidP="00A93600">
      <w:pPr>
        <w:numPr>
          <w:ilvl w:val="0"/>
          <w:numId w:val="1"/>
        </w:numPr>
        <w:ind w:hanging="49"/>
        <w:jc w:val="both"/>
      </w:pPr>
      <w:r>
        <w:t xml:space="preserve">внешняя проверка исполнения бюджета города Сорска </w:t>
      </w:r>
      <w:r w:rsidR="00F02BA0">
        <w:t>за 2021 год</w:t>
      </w:r>
      <w:r w:rsidR="00A93600">
        <w:t>;</w:t>
      </w:r>
    </w:p>
    <w:p w:rsidR="00471097" w:rsidRDefault="00471097" w:rsidP="00471097">
      <w:pPr>
        <w:numPr>
          <w:ilvl w:val="0"/>
          <w:numId w:val="1"/>
        </w:numPr>
        <w:ind w:hanging="49"/>
        <w:jc w:val="both"/>
      </w:pPr>
      <w:r w:rsidRPr="003B6423">
        <w:t xml:space="preserve">внешняя проверка исполнения бюджета города Сорска за </w:t>
      </w:r>
      <w:r w:rsidRPr="00660827">
        <w:rPr>
          <w:lang w:val="en-US"/>
        </w:rPr>
        <w:t>I</w:t>
      </w:r>
      <w:r w:rsidRPr="003B6423">
        <w:t xml:space="preserve"> </w:t>
      </w:r>
      <w:r>
        <w:t>квартал</w:t>
      </w:r>
      <w:r w:rsidRPr="003B6423">
        <w:t xml:space="preserve"> 202</w:t>
      </w:r>
      <w:r>
        <w:t>2;</w:t>
      </w:r>
    </w:p>
    <w:p w:rsidR="00F02BA0" w:rsidRPr="003B6423" w:rsidRDefault="00F02BA0" w:rsidP="00F02BA0">
      <w:pPr>
        <w:numPr>
          <w:ilvl w:val="0"/>
          <w:numId w:val="1"/>
        </w:numPr>
        <w:ind w:hanging="49"/>
        <w:jc w:val="both"/>
      </w:pPr>
      <w:r w:rsidRPr="003B6423">
        <w:t xml:space="preserve">внешняя проверка исполнения бюджета города Сорска за </w:t>
      </w:r>
      <w:r w:rsidRPr="003B6423">
        <w:rPr>
          <w:lang w:val="en-US"/>
        </w:rPr>
        <w:t>I</w:t>
      </w:r>
      <w:r w:rsidRPr="003B6423">
        <w:t xml:space="preserve"> полугодие 202</w:t>
      </w:r>
      <w:r>
        <w:t>2</w:t>
      </w:r>
      <w:r w:rsidRPr="003B6423">
        <w:t xml:space="preserve"> года;</w:t>
      </w:r>
    </w:p>
    <w:p w:rsidR="00F02BA0" w:rsidRPr="003B6423" w:rsidRDefault="00F02BA0" w:rsidP="00F02BA0">
      <w:pPr>
        <w:numPr>
          <w:ilvl w:val="0"/>
          <w:numId w:val="1"/>
        </w:numPr>
        <w:ind w:hanging="49"/>
        <w:jc w:val="both"/>
      </w:pPr>
      <w:r w:rsidRPr="003B6423">
        <w:t>внешняя проверка исполнения бюджета города Сорска за 9 месяцев 202</w:t>
      </w:r>
      <w:r>
        <w:t>2</w:t>
      </w:r>
      <w:r w:rsidRPr="003B6423">
        <w:t xml:space="preserve"> года;</w:t>
      </w:r>
    </w:p>
    <w:p w:rsidR="00F02BA0" w:rsidRDefault="00F02BA0" w:rsidP="00F02BA0">
      <w:pPr>
        <w:numPr>
          <w:ilvl w:val="0"/>
          <w:numId w:val="1"/>
        </w:numPr>
        <w:ind w:hanging="49"/>
        <w:jc w:val="both"/>
      </w:pPr>
      <w:r w:rsidRPr="003B6423">
        <w:t>экспертиза и подготовка заключения на проект решения о бюджете города Сорска на 202</w:t>
      </w:r>
      <w:r>
        <w:t>3</w:t>
      </w:r>
      <w:r w:rsidRPr="003B6423">
        <w:t xml:space="preserve"> год и плановый период 202</w:t>
      </w:r>
      <w:r>
        <w:t>4</w:t>
      </w:r>
      <w:r w:rsidRPr="003B6423">
        <w:t>-202</w:t>
      </w:r>
      <w:r>
        <w:t>5 годов</w:t>
      </w:r>
      <w:r w:rsidR="00510F9E">
        <w:t>.</w:t>
      </w:r>
    </w:p>
    <w:p w:rsidR="00F02BA0" w:rsidRPr="003B6423" w:rsidRDefault="00F02BA0" w:rsidP="003D6009">
      <w:pPr>
        <w:jc w:val="both"/>
      </w:pPr>
    </w:p>
    <w:p w:rsidR="00A179C1" w:rsidRPr="00914343" w:rsidRDefault="009A4B39" w:rsidP="00A179C1">
      <w:pPr>
        <w:ind w:firstLine="426"/>
        <w:jc w:val="both"/>
      </w:pPr>
      <w:r w:rsidRPr="00914343">
        <w:t xml:space="preserve">Оценка </w:t>
      </w:r>
      <w:proofErr w:type="gramStart"/>
      <w:r w:rsidRPr="00914343">
        <w:t>проекта бюджета города Сорска Республики</w:t>
      </w:r>
      <w:proofErr w:type="gramEnd"/>
      <w:r w:rsidRPr="00914343">
        <w:t xml:space="preserve"> Хакасия на 202</w:t>
      </w:r>
      <w:r w:rsidR="00910596">
        <w:t>3</w:t>
      </w:r>
      <w:r w:rsidRPr="00914343">
        <w:t xml:space="preserve"> год и плановый период 202</w:t>
      </w:r>
      <w:r w:rsidR="00910596">
        <w:t>4</w:t>
      </w:r>
      <w:r w:rsidRPr="00914343">
        <w:t>-202</w:t>
      </w:r>
      <w:r w:rsidR="00910596">
        <w:t>5</w:t>
      </w:r>
      <w:r w:rsidRPr="00914343">
        <w:t xml:space="preserve"> годов показала </w:t>
      </w:r>
      <w:r w:rsidR="00534787" w:rsidRPr="00914343">
        <w:t>следующие результаты:</w:t>
      </w:r>
    </w:p>
    <w:p w:rsidR="0056208F" w:rsidRPr="00301B4E" w:rsidRDefault="00D53FB7" w:rsidP="00D53FB7">
      <w:pPr>
        <w:ind w:firstLine="426"/>
        <w:jc w:val="both"/>
      </w:pPr>
      <w:r w:rsidRPr="00E94B44">
        <w:t xml:space="preserve">В рамках исполнения полномочий контрольно-счетной палаты, определенных Бюджетным Кодексом Российской Федерации, </w:t>
      </w:r>
      <w:r w:rsidR="00456222" w:rsidRPr="00E94B44">
        <w:t>п</w:t>
      </w:r>
      <w:r w:rsidRPr="00E94B44">
        <w:t>оложением о бюджетном процессе в муниципальном образовании г</w:t>
      </w:r>
      <w:r w:rsidR="009344B6">
        <w:t>ород</w:t>
      </w:r>
      <w:r w:rsidRPr="00E94B44">
        <w:t xml:space="preserve"> Сорск и </w:t>
      </w:r>
      <w:r w:rsidR="00910596">
        <w:t>П</w:t>
      </w:r>
      <w:r w:rsidRPr="00E94B44">
        <w:t>оложением о контрольно-счетной палате города Сорска Республики Хак</w:t>
      </w:r>
      <w:r w:rsidR="004168CA">
        <w:t xml:space="preserve">асия была проведена экспертиза </w:t>
      </w:r>
      <w:r w:rsidR="00301B4E" w:rsidRPr="00301B4E">
        <w:t>2</w:t>
      </w:r>
      <w:r w:rsidR="00510F9E">
        <w:t>9</w:t>
      </w:r>
      <w:r w:rsidRPr="00301B4E">
        <w:t xml:space="preserve"> нормативных правовых актов, утверждающих действие муниципальных программ на территории муниципального образования</w:t>
      </w:r>
      <w:r w:rsidR="00E94B44" w:rsidRPr="00301B4E">
        <w:t xml:space="preserve"> город </w:t>
      </w:r>
      <w:r w:rsidR="005576A8" w:rsidRPr="00301B4E">
        <w:t>Сорск</w:t>
      </w:r>
      <w:r w:rsidRPr="00301B4E">
        <w:t>.</w:t>
      </w:r>
    </w:p>
    <w:p w:rsidR="0056208F" w:rsidRPr="002F7C49" w:rsidRDefault="0056208F" w:rsidP="0056208F">
      <w:pPr>
        <w:ind w:right="-5" w:firstLine="426"/>
        <w:jc w:val="both"/>
        <w:rPr>
          <w:spacing w:val="10"/>
        </w:rPr>
      </w:pPr>
      <w:r w:rsidRPr="002F7C49">
        <w:t xml:space="preserve">По результатам контрольной </w:t>
      </w:r>
      <w:proofErr w:type="gramStart"/>
      <w:r w:rsidRPr="002F7C49">
        <w:t>проверки проекта бюджета города Сорска</w:t>
      </w:r>
      <w:proofErr w:type="gramEnd"/>
      <w:r w:rsidRPr="002F7C49">
        <w:t xml:space="preserve"> на 202</w:t>
      </w:r>
      <w:r w:rsidR="00910596" w:rsidRPr="002F7C49">
        <w:t>3</w:t>
      </w:r>
      <w:r w:rsidRPr="002F7C49">
        <w:t xml:space="preserve"> год и плановый период 202</w:t>
      </w:r>
      <w:r w:rsidR="00910596" w:rsidRPr="002F7C49">
        <w:t>4</w:t>
      </w:r>
      <w:r w:rsidRPr="002F7C49">
        <w:t xml:space="preserve"> -202</w:t>
      </w:r>
      <w:r w:rsidR="00910596" w:rsidRPr="002F7C49">
        <w:t>5</w:t>
      </w:r>
      <w:r w:rsidRPr="002F7C49">
        <w:t xml:space="preserve"> установлены несоответствия на общую сумму 1</w:t>
      </w:r>
      <w:r w:rsidR="00487FF9" w:rsidRPr="002F7C49">
        <w:t>3</w:t>
      </w:r>
      <w:r w:rsidRPr="002F7C49">
        <w:t>,</w:t>
      </w:r>
      <w:r w:rsidR="00487FF9" w:rsidRPr="002F7C49">
        <w:t>3 млн</w:t>
      </w:r>
      <w:r w:rsidRPr="002F7C49">
        <w:t xml:space="preserve">. рублей. В том числе выявлены </w:t>
      </w:r>
      <w:r w:rsidRPr="002F7C49">
        <w:rPr>
          <w:spacing w:val="10"/>
        </w:rPr>
        <w:t>технические неточности, в частности:</w:t>
      </w:r>
    </w:p>
    <w:p w:rsidR="00946B9D" w:rsidRPr="002F7C49" w:rsidRDefault="00946B9D" w:rsidP="00946B9D">
      <w:pPr>
        <w:ind w:firstLine="360"/>
        <w:jc w:val="both"/>
      </w:pPr>
      <w:r w:rsidRPr="002F7C49">
        <w:t>1) Экспертиза муниципальных программ, учтенных при подготовке проекта местного бюджета, показала некоторые расхождения, требующие ко</w:t>
      </w:r>
      <w:r w:rsidR="00153B3E">
        <w:t>рректировки (п.7.2 Заключения).</w:t>
      </w:r>
    </w:p>
    <w:p w:rsidR="00946B9D" w:rsidRPr="002F7C49" w:rsidRDefault="00946B9D" w:rsidP="00946B9D">
      <w:pPr>
        <w:ind w:firstLine="360"/>
        <w:jc w:val="both"/>
      </w:pPr>
      <w:r w:rsidRPr="002F7C49">
        <w:t>При проведении анализа представленных муниципальных программ на предмет соответствия действующему Порядку разработки, утверждения, реализации и оценки эффективности, а также проекту бюджета города Сорска на 2023 год и плановый период 2024-2025 годы допущены неточности, в частности:</w:t>
      </w:r>
    </w:p>
    <w:p w:rsidR="00946B9D" w:rsidRPr="002F7C49" w:rsidRDefault="00946B9D" w:rsidP="00946B9D">
      <w:pPr>
        <w:ind w:firstLine="360"/>
        <w:jc w:val="both"/>
      </w:pPr>
      <w:r w:rsidRPr="002F7C49">
        <w:lastRenderedPageBreak/>
        <w:t>- по программе «Текущий и капитальный ремонт административных зданий администрации города Сорска», отсутствуют постановления главы города Сорска о внесении изменений в данную программу относительно уменьшения объемов бюджетных ассигнований на 2023 год (план – 750,0 тыс. руб., факт – 500,0 тыс. руб.). Объем бюджетных ассигнований уменьшен на 250,0 тыс. руб.;</w:t>
      </w:r>
    </w:p>
    <w:p w:rsidR="00946B9D" w:rsidRPr="002F7C49" w:rsidRDefault="00946B9D" w:rsidP="00946B9D">
      <w:pPr>
        <w:ind w:firstLine="360"/>
        <w:jc w:val="both"/>
      </w:pPr>
      <w:r w:rsidRPr="002F7C49">
        <w:t>- по программе «Развитие системы образования в муниципальном образовании город Сорск» объем бюджетных ассигнований (58 069,0 тыс. руб.) превышает заложенный в бюджет (47 199,7 тыс. руб.) на 10 869,3 тыс. рублей. При этом отсутствуют постановления главы города Сорска о внесении изменений в данную программу относительно увеличения объемов бюджетных ассигнований на 2023 год;</w:t>
      </w:r>
    </w:p>
    <w:p w:rsidR="00946B9D" w:rsidRPr="002F7C49" w:rsidRDefault="00946B9D" w:rsidP="00946B9D">
      <w:pPr>
        <w:ind w:firstLine="360"/>
        <w:jc w:val="both"/>
      </w:pPr>
      <w:proofErr w:type="gramStart"/>
      <w:r w:rsidRPr="002F7C49">
        <w:t>- в программе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 заложен объем бюджетных ассигнований 3 555,2 тыс. руб., что меньше заложенного в проект бюджета (1 630,7 тыс. руб.) на 1 924,5 тыс. руб. Постановления о внесении изменений в МЦП отсутствуют;</w:t>
      </w:r>
      <w:proofErr w:type="gramEnd"/>
    </w:p>
    <w:p w:rsidR="00946B9D" w:rsidRPr="002F7C49" w:rsidRDefault="00946B9D" w:rsidP="00946B9D">
      <w:pPr>
        <w:ind w:firstLine="360"/>
        <w:jc w:val="both"/>
      </w:pPr>
      <w:r w:rsidRPr="002F7C49">
        <w:t>- финансирование программы «Информатизация администрации города Сорска и ее структурных подразделений» (640,0 тыс. руб.) не соответствует проекту бюджета (860,0 тыс. руб.) в сторону увеличения на 220,0 тыс. руб. Постановления о внесении изменений в МЦП отсутствуют;</w:t>
      </w:r>
    </w:p>
    <w:p w:rsidR="00946B9D" w:rsidRPr="002F7C49" w:rsidRDefault="00946B9D" w:rsidP="00946B9D">
      <w:pPr>
        <w:ind w:firstLine="360"/>
        <w:jc w:val="both"/>
      </w:pPr>
      <w:r w:rsidRPr="002F7C49">
        <w:t xml:space="preserve">- на программу «Профессиональное развитие муниципальных служащих, работников технической группы, централизованной бухгалтерии </w:t>
      </w:r>
      <w:proofErr w:type="gramStart"/>
      <w:r w:rsidRPr="002F7C49">
        <w:t>органов местного самоуправления города Сорска Республики</w:t>
      </w:r>
      <w:proofErr w:type="gramEnd"/>
      <w:r w:rsidRPr="002F7C49">
        <w:t xml:space="preserve"> Хакасия» бюджетных ассигнований в проекте бюджета на 2023 год и плановый период не заложено, хотя данная программа предполагает финансирование в 2023 году в размере 70,0 тыс. руб.</w:t>
      </w:r>
    </w:p>
    <w:p w:rsidR="00946B9D" w:rsidRPr="002F7C49" w:rsidRDefault="00946B9D" w:rsidP="00946B9D">
      <w:pPr>
        <w:ind w:firstLine="360"/>
        <w:jc w:val="both"/>
      </w:pPr>
      <w:r w:rsidRPr="002F7C49">
        <w:t>8.2 Средства резервного фонда заложены на 2023-2025 годы в размере 5000,0 тыс. рублей, что не превышает 3 % от общей суммы расходов бюджета, согласно статье 81 Бюджетного кодекса Российской Федерации.</w:t>
      </w:r>
    </w:p>
    <w:p w:rsidR="00946B9D" w:rsidRPr="002F7C49" w:rsidRDefault="00946B9D" w:rsidP="00946B9D">
      <w:pPr>
        <w:ind w:firstLine="360"/>
        <w:jc w:val="both"/>
      </w:pPr>
      <w:r w:rsidRPr="002F7C49">
        <w:t xml:space="preserve">8.3 Верхний предел муниципального долга на 01 января 2024 года спрогнозирован в сумме 16480 тыс. рублей. Ограничения, предусмотренные статьей 107 Бюджетного кодекса РФ, соблюдены. </w:t>
      </w:r>
    </w:p>
    <w:p w:rsidR="00946B9D" w:rsidRPr="002F7C49" w:rsidRDefault="00946B9D" w:rsidP="00946B9D">
      <w:pPr>
        <w:ind w:firstLine="360"/>
        <w:jc w:val="both"/>
      </w:pPr>
      <w:r w:rsidRPr="002F7C49">
        <w:t xml:space="preserve">8.4 Размер доходной части местного бюджета на 2023 год без учета межбюджетных трансфертов на 17,6% (-35,2 млн. руб.) ниже утвержденных </w:t>
      </w:r>
      <w:r w:rsidR="00153B3E">
        <w:t>бюджетных назначений 2022 года.</w:t>
      </w:r>
    </w:p>
    <w:p w:rsidR="00946B9D" w:rsidRPr="002F7C49" w:rsidRDefault="00946B9D" w:rsidP="00946B9D">
      <w:pPr>
        <w:ind w:firstLine="360"/>
        <w:jc w:val="both"/>
      </w:pPr>
      <w:r w:rsidRPr="002F7C49">
        <w:rPr>
          <w:u w:val="single"/>
        </w:rPr>
        <w:t>Налоговые доходы</w:t>
      </w:r>
      <w:r w:rsidRPr="002F7C49">
        <w:t xml:space="preserve"> в местном бюджете на 2023 год составляют 92,2% (149,8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(83,8%) и налога на имущество (4,2%).</w:t>
      </w:r>
    </w:p>
    <w:p w:rsidR="00946B9D" w:rsidRPr="002F7C49" w:rsidRDefault="00946B9D" w:rsidP="00946B9D">
      <w:pPr>
        <w:ind w:firstLine="360"/>
        <w:jc w:val="both"/>
      </w:pPr>
      <w:r w:rsidRPr="002F7C49">
        <w:rPr>
          <w:u w:val="single"/>
        </w:rPr>
        <w:t>Неналоговые доходы</w:t>
      </w:r>
      <w:r w:rsidRPr="002F7C49">
        <w:t xml:space="preserve"> определяют 7,8% собственных доходов бюджета города Сорска (12,6 млн. руб.). Большую часть неналоговых доходов составляет планируемое поступление доходов от использования муниципального имущества (66,7%) и платежей при пользовании природными ресурс</w:t>
      </w:r>
      <w:r w:rsidR="00153B3E">
        <w:t>ами (25,4%).</w:t>
      </w:r>
    </w:p>
    <w:p w:rsidR="00946B9D" w:rsidRPr="002F7C49" w:rsidRDefault="00946B9D" w:rsidP="00946B9D">
      <w:pPr>
        <w:ind w:firstLine="360"/>
        <w:jc w:val="both"/>
      </w:pPr>
      <w:r w:rsidRPr="002F7C49">
        <w:t>Расходная часть местного бюджета на 2023 год без учета межбюджетных трансфертов составляет 165,3 млн. рублей, что на 76,3% (-533,2 млн. руб.) ниже плановых показателей 2022 года.</w:t>
      </w:r>
    </w:p>
    <w:p w:rsidR="00946B9D" w:rsidRPr="002F7C49" w:rsidRDefault="00946B9D" w:rsidP="00946B9D">
      <w:pPr>
        <w:ind w:firstLine="360"/>
        <w:jc w:val="both"/>
      </w:pPr>
      <w:r w:rsidRPr="002F7C49">
        <w:t>8.5. На 2023 год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</w:r>
    </w:p>
    <w:p w:rsidR="00946B9D" w:rsidRPr="002F7C49" w:rsidRDefault="00946B9D" w:rsidP="00946B9D">
      <w:pPr>
        <w:ind w:firstLine="360"/>
        <w:jc w:val="both"/>
      </w:pPr>
      <w:r w:rsidRPr="002F7C49">
        <w:t>8.6 Городской бюджет на 2023 год и плановый период 2024 -2025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</w:r>
    </w:p>
    <w:p w:rsidR="00946B9D" w:rsidRPr="002F7C49" w:rsidRDefault="00946B9D" w:rsidP="00946B9D">
      <w:pPr>
        <w:ind w:firstLine="360"/>
        <w:jc w:val="both"/>
      </w:pPr>
      <w:r w:rsidRPr="002F7C49">
        <w:t>Условно утверждаемые расходы для создания резерва на случай непредвиденного сокращения доходов, составили: на 2024 год – 4,3 млн. рублей, на 2025 год – 9,0 млн. рублей.</w:t>
      </w:r>
    </w:p>
    <w:p w:rsidR="00946B9D" w:rsidRPr="002F7C49" w:rsidRDefault="00946B9D" w:rsidP="00946B9D">
      <w:pPr>
        <w:ind w:firstLine="360"/>
        <w:jc w:val="both"/>
      </w:pPr>
      <w:r w:rsidRPr="002F7C49">
        <w:lastRenderedPageBreak/>
        <w:t>8.7 Согласно представленным сведениям по дебиторской и кредиторской задолженности (ф.0503169, ф.0503769) сводная кредиторская задолженность на 01.10.2022 года составляет 97,3 млн. рублей, в том числе просроченная – 12,3 млн. рублей.</w:t>
      </w:r>
      <w:r w:rsidRPr="002F7C49">
        <w:rPr>
          <w:color w:val="C0504D" w:themeColor="accent2"/>
        </w:rPr>
        <w:t xml:space="preserve"> </w:t>
      </w:r>
      <w:r w:rsidRPr="002F7C49">
        <w:t>Основная доля кредиторской задолженности приходится на задолженность по принятым обязательствам, тем самым исполнение местного бюджета в течение 2023 года будет проходить с учетом погашения вышеуказанной задолженности.</w:t>
      </w:r>
    </w:p>
    <w:p w:rsidR="00946B9D" w:rsidRPr="002F7C49" w:rsidRDefault="00946B9D" w:rsidP="00946B9D">
      <w:pPr>
        <w:ind w:firstLine="360"/>
        <w:jc w:val="both"/>
      </w:pPr>
      <w:r w:rsidRPr="002F7C49">
        <w:t>8.8. В пояснительной записке к проекту бюджета на 2023 год и плановый период 2024-2025 годов выявлены неточности в информации о формировании расходов бюджета</w:t>
      </w:r>
      <w:r w:rsidR="00D54AA6">
        <w:t>.</w:t>
      </w:r>
    </w:p>
    <w:p w:rsidR="00D53FB7" w:rsidRPr="009719AE" w:rsidRDefault="00D53FB7" w:rsidP="00D53FB7">
      <w:pPr>
        <w:ind w:firstLine="426"/>
        <w:jc w:val="both"/>
      </w:pPr>
      <w:r w:rsidRPr="009719AE">
        <w:t xml:space="preserve">По </w:t>
      </w:r>
      <w:r w:rsidR="00187A63" w:rsidRPr="009719AE">
        <w:t>итогам</w:t>
      </w:r>
      <w:r w:rsidRPr="009719AE">
        <w:t xml:space="preserve"> проведенных контрольных и экспертно-аналитических мероприятий в адрес объектов проверки было направлено </w:t>
      </w:r>
      <w:r w:rsidR="009719AE" w:rsidRPr="009719AE">
        <w:t>7</w:t>
      </w:r>
      <w:r w:rsidRPr="009719AE">
        <w:t xml:space="preserve"> предложени</w:t>
      </w:r>
      <w:r w:rsidR="00656AD9" w:rsidRPr="009719AE">
        <w:t>й</w:t>
      </w:r>
      <w:r w:rsidRPr="009719AE">
        <w:t xml:space="preserve"> и рекомендаци</w:t>
      </w:r>
      <w:r w:rsidR="00656AD9" w:rsidRPr="009719AE">
        <w:t>й</w:t>
      </w:r>
      <w:r w:rsidR="00077EA4">
        <w:t>.</w:t>
      </w:r>
    </w:p>
    <w:p w:rsidR="00D53FB7" w:rsidRPr="00D512A7" w:rsidRDefault="00D53FB7" w:rsidP="00D53FB7">
      <w:pPr>
        <w:ind w:firstLine="426"/>
        <w:jc w:val="both"/>
      </w:pPr>
      <w:r w:rsidRPr="00D512A7">
        <w:t xml:space="preserve">Всего за отчетный период во исполнение рекомендаций контрольно-счетной палаты города Сорска устранено нарушений на общую сумму </w:t>
      </w:r>
      <w:r w:rsidR="004C4DA6" w:rsidRPr="00D512A7">
        <w:t>1</w:t>
      </w:r>
      <w:r w:rsidR="00D512A7" w:rsidRPr="00D512A7">
        <w:t>3</w:t>
      </w:r>
      <w:r w:rsidR="00BE36A0" w:rsidRPr="00D512A7">
        <w:t>,</w:t>
      </w:r>
      <w:r w:rsidR="00D512A7" w:rsidRPr="00D512A7">
        <w:t>4</w:t>
      </w:r>
      <w:r w:rsidRPr="00D512A7">
        <w:t xml:space="preserve"> млн. рублей</w:t>
      </w:r>
      <w:r w:rsidR="004C4DA6" w:rsidRPr="00D512A7">
        <w:t>. П</w:t>
      </w:r>
      <w:r w:rsidRPr="00D512A7">
        <w:t xml:space="preserve">риведен в соответствие с бюджетом города Сорска объем бюджетных ассигнований муниципальных программ на сумму </w:t>
      </w:r>
      <w:r w:rsidR="004C4DA6" w:rsidRPr="00D512A7">
        <w:t>1</w:t>
      </w:r>
      <w:r w:rsidR="00D512A7" w:rsidRPr="00D512A7">
        <w:t>3</w:t>
      </w:r>
      <w:r w:rsidR="004C4DA6" w:rsidRPr="00D512A7">
        <w:t>,</w:t>
      </w:r>
      <w:r w:rsidR="00D512A7" w:rsidRPr="00D512A7">
        <w:t>4</w:t>
      </w:r>
      <w:r w:rsidR="00EA4929" w:rsidRPr="00D512A7">
        <w:t xml:space="preserve"> млн.</w:t>
      </w:r>
      <w:r w:rsidRPr="00D512A7">
        <w:t xml:space="preserve"> рублей</w:t>
      </w:r>
      <w:r w:rsidR="009A608E" w:rsidRPr="00D512A7">
        <w:t>.</w:t>
      </w:r>
    </w:p>
    <w:p w:rsidR="00443721" w:rsidRDefault="00D53FB7" w:rsidP="00D53FB7">
      <w:pPr>
        <w:ind w:firstLine="426"/>
        <w:jc w:val="both"/>
        <w:rPr>
          <w:iCs/>
        </w:rPr>
      </w:pPr>
      <w:r w:rsidRPr="00E05CEA">
        <w:rPr>
          <w:iCs/>
        </w:rPr>
        <w:t>В течение 20</w:t>
      </w:r>
      <w:r w:rsidR="00EA6431" w:rsidRPr="00E05CEA">
        <w:rPr>
          <w:iCs/>
        </w:rPr>
        <w:t>2</w:t>
      </w:r>
      <w:r w:rsidR="0019418B">
        <w:rPr>
          <w:iCs/>
        </w:rPr>
        <w:t>2</w:t>
      </w:r>
      <w:r w:rsidRPr="00E05CEA">
        <w:rPr>
          <w:iCs/>
        </w:rPr>
        <w:t xml:space="preserve"> года </w:t>
      </w:r>
      <w:r w:rsidR="00C6781F" w:rsidRPr="00E05CEA">
        <w:rPr>
          <w:iCs/>
        </w:rPr>
        <w:t>председатель</w:t>
      </w:r>
      <w:r w:rsidRPr="00E05CEA">
        <w:rPr>
          <w:iCs/>
        </w:rPr>
        <w:t xml:space="preserve"> контрольно-счетной </w:t>
      </w:r>
      <w:r w:rsidR="00C6781F" w:rsidRPr="00E05CEA">
        <w:rPr>
          <w:iCs/>
        </w:rPr>
        <w:t>палаты города Сорска участвовал</w:t>
      </w:r>
      <w:r w:rsidR="005918D1" w:rsidRPr="00E05CEA">
        <w:rPr>
          <w:iCs/>
        </w:rPr>
        <w:t>а</w:t>
      </w:r>
      <w:r w:rsidRPr="00E05CEA">
        <w:rPr>
          <w:iCs/>
        </w:rPr>
        <w:t xml:space="preserve"> в </w:t>
      </w:r>
      <w:r w:rsidR="00021BCE" w:rsidRPr="00E05CEA">
        <w:rPr>
          <w:iCs/>
        </w:rPr>
        <w:t>веб</w:t>
      </w:r>
      <w:r w:rsidRPr="00E05CEA">
        <w:rPr>
          <w:iCs/>
        </w:rPr>
        <w:t xml:space="preserve">инарах и </w:t>
      </w:r>
      <w:r w:rsidR="00021BCE" w:rsidRPr="00E05CEA">
        <w:rPr>
          <w:iCs/>
        </w:rPr>
        <w:t>видеоконференциях</w:t>
      </w:r>
      <w:r w:rsidRPr="00E05CEA">
        <w:rPr>
          <w:iCs/>
        </w:rPr>
        <w:t>, проводимых Контрольно-счетной палатой</w:t>
      </w:r>
      <w:r w:rsidRPr="004168CA">
        <w:rPr>
          <w:iCs/>
          <w:color w:val="C0504D" w:themeColor="accent2"/>
        </w:rPr>
        <w:t xml:space="preserve"> </w:t>
      </w:r>
      <w:r w:rsidR="00C6781F" w:rsidRPr="00E05CEA">
        <w:rPr>
          <w:iCs/>
        </w:rPr>
        <w:t>Российской Федерации</w:t>
      </w:r>
      <w:r w:rsidRPr="00E05CEA">
        <w:rPr>
          <w:iCs/>
        </w:rPr>
        <w:t xml:space="preserve">, </w:t>
      </w:r>
      <w:r w:rsidR="00D90FBF" w:rsidRPr="00E05CEA">
        <w:rPr>
          <w:iCs/>
        </w:rPr>
        <w:t>в заседаниях</w:t>
      </w:r>
      <w:proofErr w:type="gramStart"/>
      <w:r w:rsidR="00D90FBF" w:rsidRPr="00E05CEA">
        <w:rPr>
          <w:iCs/>
        </w:rPr>
        <w:t xml:space="preserve"> К</w:t>
      </w:r>
      <w:proofErr w:type="gramEnd"/>
      <w:r w:rsidR="00D90FBF" w:rsidRPr="00E05CEA">
        <w:rPr>
          <w:iCs/>
        </w:rPr>
        <w:t xml:space="preserve">онтрольно – счетной палаты Республики Хакасия, </w:t>
      </w:r>
      <w:r w:rsidRPr="00E05CEA">
        <w:rPr>
          <w:iCs/>
        </w:rPr>
        <w:t>где обсуждались</w:t>
      </w:r>
      <w:r w:rsidR="009A608E" w:rsidRPr="00E05CEA">
        <w:rPr>
          <w:iCs/>
        </w:rPr>
        <w:t xml:space="preserve"> вопросы</w:t>
      </w:r>
      <w:r w:rsidRPr="00E05CEA">
        <w:rPr>
          <w:iCs/>
        </w:rPr>
        <w:t xml:space="preserve"> </w:t>
      </w:r>
      <w:r w:rsidR="008F7995" w:rsidRPr="00E05CEA">
        <w:rPr>
          <w:iCs/>
        </w:rPr>
        <w:t xml:space="preserve">противодействия коррупции, создание единой системы внешнего финансового контроля, </w:t>
      </w:r>
      <w:r w:rsidR="009D1134" w:rsidRPr="00E05CEA">
        <w:rPr>
          <w:iCs/>
        </w:rPr>
        <w:t xml:space="preserve">изучались и принимались к сведению </w:t>
      </w:r>
      <w:r w:rsidR="00986594" w:rsidRPr="00E05CEA">
        <w:rPr>
          <w:iCs/>
        </w:rPr>
        <w:t>изменения в законодательств</w:t>
      </w:r>
      <w:r w:rsidR="00FA63AB" w:rsidRPr="00E05CEA">
        <w:rPr>
          <w:iCs/>
        </w:rPr>
        <w:t>е</w:t>
      </w:r>
      <w:r w:rsidR="008F7995" w:rsidRPr="00E05CEA">
        <w:rPr>
          <w:iCs/>
        </w:rPr>
        <w:t xml:space="preserve"> о контрольно – счетных органах в Российской Федерации.</w:t>
      </w:r>
    </w:p>
    <w:p w:rsidR="0085761B" w:rsidRPr="0019418B" w:rsidRDefault="00054AC1" w:rsidP="00D53FB7">
      <w:pPr>
        <w:ind w:firstLine="426"/>
        <w:jc w:val="both"/>
        <w:rPr>
          <w:iCs/>
        </w:rPr>
      </w:pPr>
      <w:r w:rsidRPr="0019418B">
        <w:rPr>
          <w:iCs/>
        </w:rPr>
        <w:t>Также в течение</w:t>
      </w:r>
      <w:r w:rsidR="0085761B" w:rsidRPr="0019418B">
        <w:rPr>
          <w:iCs/>
        </w:rPr>
        <w:t xml:space="preserve"> 202</w:t>
      </w:r>
      <w:r w:rsidR="0019418B" w:rsidRPr="0019418B">
        <w:rPr>
          <w:iCs/>
        </w:rPr>
        <w:t>2</w:t>
      </w:r>
      <w:r w:rsidR="0085761B" w:rsidRPr="0019418B">
        <w:rPr>
          <w:iCs/>
        </w:rPr>
        <w:t xml:space="preserve"> года </w:t>
      </w:r>
      <w:r w:rsidR="001E02F5">
        <w:rPr>
          <w:iCs/>
        </w:rPr>
        <w:t xml:space="preserve">должностные лица </w:t>
      </w:r>
      <w:r w:rsidR="0085761B" w:rsidRPr="0019418B">
        <w:rPr>
          <w:iCs/>
        </w:rPr>
        <w:t>контрольно-счетной палаты города Сорска участвовала в заседаниях комиссии по ГО и</w:t>
      </w:r>
      <w:r w:rsidR="0019418B" w:rsidRPr="0019418B">
        <w:rPr>
          <w:iCs/>
        </w:rPr>
        <w:t xml:space="preserve"> ЧС администрации города Сорска, в заседаниях бюджетной комиссии администрации города Сорска.</w:t>
      </w:r>
    </w:p>
    <w:p w:rsidR="00D53FB7" w:rsidRPr="00A45CD6" w:rsidRDefault="00D53FB7" w:rsidP="00D53FB7">
      <w:pPr>
        <w:ind w:firstLine="426"/>
        <w:jc w:val="both"/>
        <w:rPr>
          <w:iCs/>
        </w:rPr>
      </w:pPr>
      <w:r w:rsidRPr="00A45CD6">
        <w:rPr>
          <w:iCs/>
        </w:rPr>
        <w:t>По мере необходимости специалистами контрольно-счетной палаты оказывалась консультативная помощь в в</w:t>
      </w:r>
      <w:r w:rsidR="005A5EF5">
        <w:rPr>
          <w:iCs/>
        </w:rPr>
        <w:t>опросах нормативного характера.</w:t>
      </w:r>
    </w:p>
    <w:p w:rsidR="00D53FB7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A45CD6">
        <w:t>В соответствии с общими принципами организации и деятельности контрольно-счетных органов муниципальных образований</w:t>
      </w:r>
      <w:r w:rsidRPr="00A45CD6">
        <w:rPr>
          <w:rFonts w:eastAsiaTheme="minorHAnsi"/>
          <w:lang w:eastAsia="en-US"/>
        </w:rPr>
        <w:t xml:space="preserve"> планирование деятельности осуществляется с учетом результатов контрольных и экспертно-аналитических мероприятий, а также на основании </w:t>
      </w:r>
      <w:proofErr w:type="gramStart"/>
      <w:r w:rsidRPr="00A45CD6">
        <w:rPr>
          <w:rFonts w:eastAsiaTheme="minorHAnsi"/>
          <w:lang w:eastAsia="en-US"/>
        </w:rPr>
        <w:t xml:space="preserve">поручений </w:t>
      </w:r>
      <w:r w:rsidR="00F008B3" w:rsidRPr="00A45CD6">
        <w:rPr>
          <w:rFonts w:eastAsiaTheme="minorHAnsi"/>
          <w:lang w:eastAsia="en-US"/>
        </w:rPr>
        <w:t>Совета депутатов города Сорска</w:t>
      </w:r>
      <w:proofErr w:type="gramEnd"/>
      <w:r w:rsidR="00DF649C" w:rsidRPr="00A45CD6">
        <w:rPr>
          <w:rFonts w:eastAsiaTheme="minorHAnsi"/>
          <w:lang w:eastAsia="en-US"/>
        </w:rPr>
        <w:t>.</w:t>
      </w:r>
    </w:p>
    <w:p w:rsidR="00E50EA9" w:rsidRPr="006D5E0C" w:rsidRDefault="00E50EA9" w:rsidP="00467A76">
      <w:pPr>
        <w:jc w:val="both"/>
        <w:rPr>
          <w:rFonts w:eastAsiaTheme="minorHAnsi"/>
          <w:lang w:eastAsia="en-US"/>
        </w:rPr>
      </w:pPr>
      <w:r>
        <w:tab/>
        <w:t>По поручению Совета депутатов города Сорска в 2022 году проведено два экспертно – аналитических мероприятия:</w:t>
      </w:r>
    </w:p>
    <w:p w:rsidR="00D230C2" w:rsidRPr="00A716CB" w:rsidRDefault="00D230C2" w:rsidP="00D53FB7">
      <w:pPr>
        <w:ind w:firstLine="426"/>
        <w:jc w:val="both"/>
      </w:pPr>
      <w:r w:rsidRPr="00A716CB">
        <w:t xml:space="preserve">- </w:t>
      </w:r>
      <w:r w:rsidR="00E50EA9">
        <w:t>проверка</w:t>
      </w:r>
      <w:r w:rsidR="00E01D6F" w:rsidRPr="00A716CB">
        <w:t xml:space="preserve"> исполнения муниципальной программы «</w:t>
      </w:r>
      <w:r w:rsidR="00BD7601" w:rsidRPr="00A716CB">
        <w:t xml:space="preserve">Содействие </w:t>
      </w:r>
      <w:proofErr w:type="gramStart"/>
      <w:r w:rsidR="00BD7601" w:rsidRPr="00A716CB">
        <w:t>занятости населения города Сорска</w:t>
      </w:r>
      <w:r w:rsidR="00E01D6F" w:rsidRPr="00A716CB">
        <w:t xml:space="preserve"> Республики</w:t>
      </w:r>
      <w:proofErr w:type="gramEnd"/>
      <w:r w:rsidR="00E01D6F" w:rsidRPr="00A716CB">
        <w:t xml:space="preserve"> Хакасия</w:t>
      </w:r>
      <w:r w:rsidR="00A926D9" w:rsidRPr="00A716CB">
        <w:t>» з</w:t>
      </w:r>
      <w:r w:rsidR="00E01D6F" w:rsidRPr="00A716CB">
        <w:t xml:space="preserve">а </w:t>
      </w:r>
      <w:r w:rsidR="00A926D9" w:rsidRPr="00A716CB">
        <w:t xml:space="preserve">2021 </w:t>
      </w:r>
      <w:r w:rsidR="003E6C8B" w:rsidRPr="00A716CB">
        <w:t>г</w:t>
      </w:r>
      <w:r w:rsidR="00A926D9" w:rsidRPr="00A716CB">
        <w:t>од</w:t>
      </w:r>
      <w:r w:rsidR="002D24F2" w:rsidRPr="00A716CB">
        <w:t>,</w:t>
      </w:r>
    </w:p>
    <w:p w:rsidR="003055D5" w:rsidRDefault="00D230C2" w:rsidP="00D53FB7">
      <w:pPr>
        <w:ind w:firstLine="426"/>
        <w:jc w:val="both"/>
      </w:pPr>
      <w:r w:rsidRPr="00A716CB">
        <w:t xml:space="preserve">- </w:t>
      </w:r>
      <w:r w:rsidR="00E50EA9">
        <w:t>проверка</w:t>
      </w:r>
      <w:r w:rsidRPr="00A716CB">
        <w:t xml:space="preserve"> исполнения</w:t>
      </w:r>
      <w:r w:rsidR="003055D5" w:rsidRPr="00A716CB">
        <w:t xml:space="preserve"> муниципальной программы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за 2021 год.</w:t>
      </w:r>
    </w:p>
    <w:p w:rsidR="00E9097D" w:rsidRDefault="00E9097D" w:rsidP="00056B49">
      <w:pPr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r w:rsidRPr="00467A76">
        <w:rPr>
          <w:rFonts w:eastAsiaTheme="minorHAnsi"/>
          <w:color w:val="000000" w:themeColor="text1"/>
          <w:lang w:eastAsia="en-US"/>
        </w:rPr>
        <w:t xml:space="preserve">Информационные письма в ходе подготовки Плана работы контрольно-счетной палаты города Сорска на 2023 год были направлены в адрес главы города и Совета депутатов города Сорска. </w:t>
      </w:r>
      <w:r w:rsidRPr="00467A76">
        <w:rPr>
          <w:color w:val="000000" w:themeColor="text1"/>
        </w:rPr>
        <w:t xml:space="preserve">Вследствие чего, по предложению Совета депутатов города Сорска в рабочий план были включены </w:t>
      </w:r>
      <w:r w:rsidR="00E50EA9">
        <w:rPr>
          <w:color w:val="000000" w:themeColor="text1"/>
        </w:rPr>
        <w:t>4</w:t>
      </w:r>
      <w:r w:rsidRPr="00467A76">
        <w:rPr>
          <w:color w:val="000000" w:themeColor="text1"/>
        </w:rPr>
        <w:t xml:space="preserve"> экспертно – аналитически</w:t>
      </w:r>
      <w:r w:rsidR="00E50EA9">
        <w:rPr>
          <w:color w:val="000000" w:themeColor="text1"/>
        </w:rPr>
        <w:t>х</w:t>
      </w:r>
      <w:r>
        <w:rPr>
          <w:color w:val="000000" w:themeColor="text1"/>
        </w:rPr>
        <w:t xml:space="preserve"> мероприятия</w:t>
      </w:r>
      <w:r w:rsidR="00E50EA9">
        <w:rPr>
          <w:color w:val="000000" w:themeColor="text1"/>
        </w:rPr>
        <w:t>.</w:t>
      </w:r>
    </w:p>
    <w:p w:rsidR="00360ACB" w:rsidRPr="00A716CB" w:rsidRDefault="00360ACB" w:rsidP="00FB5B5F">
      <w:pPr>
        <w:ind w:firstLine="540"/>
        <w:jc w:val="both"/>
      </w:pPr>
      <w:r>
        <w:rPr>
          <w:rFonts w:eastAsiaTheme="minorHAnsi"/>
          <w:lang w:eastAsia="en-US"/>
        </w:rPr>
        <w:t>Контрольно – счетная палата города Сорска в 2022 году участвовала в совместном с</w:t>
      </w:r>
      <w:proofErr w:type="gramStart"/>
      <w:r>
        <w:rPr>
          <w:rFonts w:eastAsiaTheme="minorHAnsi"/>
          <w:lang w:eastAsia="en-US"/>
        </w:rPr>
        <w:t xml:space="preserve"> К</w:t>
      </w:r>
      <w:proofErr w:type="gramEnd"/>
      <w:r>
        <w:rPr>
          <w:rFonts w:eastAsiaTheme="minorHAnsi"/>
          <w:lang w:eastAsia="en-US"/>
        </w:rPr>
        <w:t xml:space="preserve">онтрольно – счетной палатой Республики Хакасия экспертно – аналитическом мероприятии </w:t>
      </w:r>
      <w:r w:rsidRPr="006D5E0C">
        <w:t>«Анализ расходования бюджетных средств, направленных в 2020-202</w:t>
      </w:r>
      <w:r>
        <w:t>2</w:t>
      </w:r>
      <w:r w:rsidRPr="006D5E0C">
        <w:t xml:space="preserve"> годах на мероприятия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организациях».</w:t>
      </w:r>
    </w:p>
    <w:p w:rsidR="0051523E" w:rsidRPr="007D6251" w:rsidRDefault="0051523E" w:rsidP="00D53FB7">
      <w:pPr>
        <w:ind w:firstLine="426"/>
        <w:jc w:val="both"/>
      </w:pPr>
      <w:r w:rsidRPr="00056B49">
        <w:t xml:space="preserve">Согласно утвержденному Плану работы на 2022 год контрольно-счетной палатой будет продолжена работа по осуществлению внешнего </w:t>
      </w:r>
      <w:proofErr w:type="gramStart"/>
      <w:r w:rsidRPr="00056B49">
        <w:t>контроля за</w:t>
      </w:r>
      <w:proofErr w:type="gramEnd"/>
      <w:r w:rsidRPr="00056B49">
        <w:t xml:space="preserve"> использованием средств местного бюджета, </w:t>
      </w:r>
      <w:r w:rsidRPr="007D6251">
        <w:t>уменьшению рисков неэффективного и неправомерного использования бюджетных средств.</w:t>
      </w:r>
    </w:p>
    <w:p w:rsidR="00E67B4D" w:rsidRPr="00823490" w:rsidRDefault="00E67B4D" w:rsidP="00E67B4D">
      <w:pPr>
        <w:ind w:firstLine="360"/>
        <w:jc w:val="both"/>
      </w:pPr>
      <w:proofErr w:type="gramStart"/>
      <w:r w:rsidRPr="00823490">
        <w:t xml:space="preserve">Соблюдая принципы объективности, законности и гласности, определенные Федеральным законом от 7 февраля 2011 г. N 6-ФЗ </w:t>
      </w:r>
      <w:r w:rsidR="00456222" w:rsidRPr="00823490">
        <w:t>«</w:t>
      </w:r>
      <w:r w:rsidRPr="00823490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 w:rsidRPr="00823490">
        <w:t>»</w:t>
      </w:r>
      <w:r w:rsidRPr="00823490">
        <w:t xml:space="preserve">, </w:t>
      </w:r>
      <w:r w:rsidR="00461291" w:rsidRPr="00823490">
        <w:t xml:space="preserve">отчет о работе контрольно – счетной палаты города Сорска </w:t>
      </w:r>
      <w:r w:rsidR="00461291" w:rsidRPr="00823490">
        <w:lastRenderedPageBreak/>
        <w:t>будет</w:t>
      </w:r>
      <w:r w:rsidRPr="00823490">
        <w:t xml:space="preserve"> </w:t>
      </w:r>
      <w:r w:rsidR="00FB5B5F">
        <w:t>размещен</w:t>
      </w:r>
      <w:r w:rsidRPr="00823490">
        <w:t xml:space="preserve"> на официальном сайте администрации города Сорска в разделе контрольно-счетной палаты</w:t>
      </w:r>
      <w:r w:rsidR="00435C13">
        <w:t xml:space="preserve"> города Сорска</w:t>
      </w:r>
      <w:r w:rsidR="00461291" w:rsidRPr="00823490">
        <w:t>.</w:t>
      </w:r>
      <w:proofErr w:type="gramEnd"/>
    </w:p>
    <w:p w:rsidR="00E67B4D" w:rsidRPr="00823490" w:rsidRDefault="00E67B4D" w:rsidP="00E67B4D">
      <w:pPr>
        <w:ind w:firstLine="360"/>
      </w:pPr>
    </w:p>
    <w:p w:rsidR="00D53FB7" w:rsidRPr="00823490" w:rsidRDefault="00D53FB7" w:rsidP="00D53FB7">
      <w:pPr>
        <w:ind w:firstLine="426"/>
        <w:jc w:val="both"/>
      </w:pPr>
    </w:p>
    <w:p w:rsidR="00D53FB7" w:rsidRPr="00823490" w:rsidRDefault="00D53FB7" w:rsidP="00D53FB7">
      <w:pPr>
        <w:ind w:firstLine="426"/>
        <w:jc w:val="both"/>
      </w:pPr>
    </w:p>
    <w:p w:rsidR="00191BD6" w:rsidRPr="00823490" w:rsidRDefault="00D53FB7" w:rsidP="00D53FB7">
      <w:pPr>
        <w:jc w:val="both"/>
      </w:pPr>
      <w:r w:rsidRPr="00823490">
        <w:t xml:space="preserve">Председатель </w:t>
      </w:r>
      <w:proofErr w:type="gramStart"/>
      <w:r w:rsidRPr="00823490">
        <w:t>контрольно-счетной</w:t>
      </w:r>
      <w:proofErr w:type="gramEnd"/>
    </w:p>
    <w:p w:rsidR="00D53FB7" w:rsidRPr="00823490" w:rsidRDefault="00D53FB7" w:rsidP="00D53FB7">
      <w:pPr>
        <w:jc w:val="both"/>
      </w:pPr>
      <w:r w:rsidRPr="00823490">
        <w:t>палаты города Сорска</w:t>
      </w:r>
      <w:r w:rsidR="00191BD6" w:rsidRPr="00823490">
        <w:t xml:space="preserve"> Республики Хакасия                 ______________</w:t>
      </w:r>
      <w:r w:rsidR="00191BD6" w:rsidRPr="00823490">
        <w:tab/>
        <w:t xml:space="preserve">Г.М. </w:t>
      </w:r>
      <w:proofErr w:type="spellStart"/>
      <w:r w:rsidR="00191BD6" w:rsidRPr="00823490">
        <w:t>Губарь</w:t>
      </w:r>
      <w:proofErr w:type="spellEnd"/>
    </w:p>
    <w:sectPr w:rsidR="00D53FB7" w:rsidRPr="00823490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DB3" w:rsidRDefault="004F2DB3">
      <w:r>
        <w:separator/>
      </w:r>
    </w:p>
  </w:endnote>
  <w:endnote w:type="continuationSeparator" w:id="0">
    <w:p w:rsidR="004F2DB3" w:rsidRDefault="004F2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B016A6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4F2DB3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B016A6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915">
      <w:rPr>
        <w:rStyle w:val="a5"/>
        <w:noProof/>
      </w:rPr>
      <w:t>4</w:t>
    </w:r>
    <w:r>
      <w:rPr>
        <w:rStyle w:val="a5"/>
      </w:rPr>
      <w:fldChar w:fldCharType="end"/>
    </w:r>
  </w:p>
  <w:p w:rsidR="00673F1A" w:rsidRDefault="004F2DB3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DB3" w:rsidRDefault="004F2DB3">
      <w:r>
        <w:separator/>
      </w:r>
    </w:p>
  </w:footnote>
  <w:footnote w:type="continuationSeparator" w:id="0">
    <w:p w:rsidR="004F2DB3" w:rsidRDefault="004F2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FB7"/>
    <w:rsid w:val="00021BCE"/>
    <w:rsid w:val="00054AC1"/>
    <w:rsid w:val="00056B49"/>
    <w:rsid w:val="00077EA4"/>
    <w:rsid w:val="00081106"/>
    <w:rsid w:val="000870BC"/>
    <w:rsid w:val="00090129"/>
    <w:rsid w:val="000C3196"/>
    <w:rsid w:val="000D5A58"/>
    <w:rsid w:val="000E3430"/>
    <w:rsid w:val="000F46F1"/>
    <w:rsid w:val="000F56B3"/>
    <w:rsid w:val="00102BA4"/>
    <w:rsid w:val="0011370A"/>
    <w:rsid w:val="00133AD8"/>
    <w:rsid w:val="00142D3C"/>
    <w:rsid w:val="00153B3E"/>
    <w:rsid w:val="00165F17"/>
    <w:rsid w:val="001711B2"/>
    <w:rsid w:val="00174050"/>
    <w:rsid w:val="00187A63"/>
    <w:rsid w:val="00191BD6"/>
    <w:rsid w:val="00192099"/>
    <w:rsid w:val="0019381F"/>
    <w:rsid w:val="0019418B"/>
    <w:rsid w:val="001955F2"/>
    <w:rsid w:val="001A0663"/>
    <w:rsid w:val="001C1070"/>
    <w:rsid w:val="001D59A9"/>
    <w:rsid w:val="001E02F5"/>
    <w:rsid w:val="001E531A"/>
    <w:rsid w:val="001F31B6"/>
    <w:rsid w:val="00215551"/>
    <w:rsid w:val="0022003F"/>
    <w:rsid w:val="0024272D"/>
    <w:rsid w:val="002633CA"/>
    <w:rsid w:val="00265A45"/>
    <w:rsid w:val="0027304E"/>
    <w:rsid w:val="00287DE5"/>
    <w:rsid w:val="002A6EFC"/>
    <w:rsid w:val="002B3BE6"/>
    <w:rsid w:val="002D24F2"/>
    <w:rsid w:val="002D353C"/>
    <w:rsid w:val="002F7C49"/>
    <w:rsid w:val="00301B4E"/>
    <w:rsid w:val="0030279D"/>
    <w:rsid w:val="003055D5"/>
    <w:rsid w:val="003169C7"/>
    <w:rsid w:val="00331915"/>
    <w:rsid w:val="00334122"/>
    <w:rsid w:val="00352474"/>
    <w:rsid w:val="00360ACB"/>
    <w:rsid w:val="003803CC"/>
    <w:rsid w:val="00380845"/>
    <w:rsid w:val="003811F4"/>
    <w:rsid w:val="003B3F23"/>
    <w:rsid w:val="003B6423"/>
    <w:rsid w:val="003B78CD"/>
    <w:rsid w:val="003D6009"/>
    <w:rsid w:val="003E6C8B"/>
    <w:rsid w:val="003F4D2F"/>
    <w:rsid w:val="00404EA4"/>
    <w:rsid w:val="00406C7F"/>
    <w:rsid w:val="004168CA"/>
    <w:rsid w:val="00435C13"/>
    <w:rsid w:val="004374B0"/>
    <w:rsid w:val="00443721"/>
    <w:rsid w:val="00456222"/>
    <w:rsid w:val="00461291"/>
    <w:rsid w:val="00463033"/>
    <w:rsid w:val="00465096"/>
    <w:rsid w:val="00466F52"/>
    <w:rsid w:val="00467A76"/>
    <w:rsid w:val="00471097"/>
    <w:rsid w:val="00487FF9"/>
    <w:rsid w:val="004924B3"/>
    <w:rsid w:val="00494286"/>
    <w:rsid w:val="00494DDF"/>
    <w:rsid w:val="004B1D9A"/>
    <w:rsid w:val="004C4DA6"/>
    <w:rsid w:val="004E30A3"/>
    <w:rsid w:val="004F2DB3"/>
    <w:rsid w:val="005018A1"/>
    <w:rsid w:val="0050780E"/>
    <w:rsid w:val="00510F9E"/>
    <w:rsid w:val="0051523E"/>
    <w:rsid w:val="00534787"/>
    <w:rsid w:val="005576A8"/>
    <w:rsid w:val="0056208F"/>
    <w:rsid w:val="0057415F"/>
    <w:rsid w:val="00574716"/>
    <w:rsid w:val="0058693B"/>
    <w:rsid w:val="005878D4"/>
    <w:rsid w:val="005918D1"/>
    <w:rsid w:val="005961E3"/>
    <w:rsid w:val="005A5EF5"/>
    <w:rsid w:val="005C4F19"/>
    <w:rsid w:val="00604026"/>
    <w:rsid w:val="00651066"/>
    <w:rsid w:val="00651BAE"/>
    <w:rsid w:val="00656AD9"/>
    <w:rsid w:val="00660827"/>
    <w:rsid w:val="006707C1"/>
    <w:rsid w:val="00674586"/>
    <w:rsid w:val="00675DB2"/>
    <w:rsid w:val="006B7AF6"/>
    <w:rsid w:val="006D1D52"/>
    <w:rsid w:val="006D5E0C"/>
    <w:rsid w:val="00713386"/>
    <w:rsid w:val="00735ADD"/>
    <w:rsid w:val="00741677"/>
    <w:rsid w:val="007675CE"/>
    <w:rsid w:val="007C1603"/>
    <w:rsid w:val="007C506D"/>
    <w:rsid w:val="007D5643"/>
    <w:rsid w:val="007D6251"/>
    <w:rsid w:val="007D7A09"/>
    <w:rsid w:val="007F2706"/>
    <w:rsid w:val="0081058E"/>
    <w:rsid w:val="00813F80"/>
    <w:rsid w:val="00823490"/>
    <w:rsid w:val="00823FBA"/>
    <w:rsid w:val="00837C57"/>
    <w:rsid w:val="00855AFA"/>
    <w:rsid w:val="0085761B"/>
    <w:rsid w:val="008578B4"/>
    <w:rsid w:val="008707C8"/>
    <w:rsid w:val="00882E91"/>
    <w:rsid w:val="008C5432"/>
    <w:rsid w:val="008D1F89"/>
    <w:rsid w:val="008F5FCF"/>
    <w:rsid w:val="008F7995"/>
    <w:rsid w:val="00910596"/>
    <w:rsid w:val="00914343"/>
    <w:rsid w:val="009344B6"/>
    <w:rsid w:val="00935EC9"/>
    <w:rsid w:val="00937DA6"/>
    <w:rsid w:val="00940789"/>
    <w:rsid w:val="00944F86"/>
    <w:rsid w:val="00946B9D"/>
    <w:rsid w:val="0096082C"/>
    <w:rsid w:val="00967029"/>
    <w:rsid w:val="009719AE"/>
    <w:rsid w:val="00986594"/>
    <w:rsid w:val="00986ECF"/>
    <w:rsid w:val="00996046"/>
    <w:rsid w:val="009A4B39"/>
    <w:rsid w:val="009A557D"/>
    <w:rsid w:val="009A608E"/>
    <w:rsid w:val="009C24C3"/>
    <w:rsid w:val="009D1134"/>
    <w:rsid w:val="009E63A5"/>
    <w:rsid w:val="00A179C1"/>
    <w:rsid w:val="00A27B8C"/>
    <w:rsid w:val="00A35B36"/>
    <w:rsid w:val="00A45CD6"/>
    <w:rsid w:val="00A716CB"/>
    <w:rsid w:val="00A926D9"/>
    <w:rsid w:val="00A93600"/>
    <w:rsid w:val="00AA4886"/>
    <w:rsid w:val="00AC3A8B"/>
    <w:rsid w:val="00AF0956"/>
    <w:rsid w:val="00B016A6"/>
    <w:rsid w:val="00B1721D"/>
    <w:rsid w:val="00B57FBD"/>
    <w:rsid w:val="00B7180A"/>
    <w:rsid w:val="00BC5D73"/>
    <w:rsid w:val="00BD6FDF"/>
    <w:rsid w:val="00BD7601"/>
    <w:rsid w:val="00BE36A0"/>
    <w:rsid w:val="00BF2CBB"/>
    <w:rsid w:val="00C3689A"/>
    <w:rsid w:val="00C57B4E"/>
    <w:rsid w:val="00C60C8C"/>
    <w:rsid w:val="00C61464"/>
    <w:rsid w:val="00C6781F"/>
    <w:rsid w:val="00C83FC8"/>
    <w:rsid w:val="00CA51B2"/>
    <w:rsid w:val="00CA724D"/>
    <w:rsid w:val="00CC28E4"/>
    <w:rsid w:val="00CD6353"/>
    <w:rsid w:val="00D046BB"/>
    <w:rsid w:val="00D21E78"/>
    <w:rsid w:val="00D230C2"/>
    <w:rsid w:val="00D2522B"/>
    <w:rsid w:val="00D31414"/>
    <w:rsid w:val="00D363F9"/>
    <w:rsid w:val="00D37F78"/>
    <w:rsid w:val="00D512A7"/>
    <w:rsid w:val="00D53FB7"/>
    <w:rsid w:val="00D54AA6"/>
    <w:rsid w:val="00D90FBF"/>
    <w:rsid w:val="00DA2ABF"/>
    <w:rsid w:val="00DB02C8"/>
    <w:rsid w:val="00DD06C7"/>
    <w:rsid w:val="00DF43ED"/>
    <w:rsid w:val="00DF649C"/>
    <w:rsid w:val="00E01D6F"/>
    <w:rsid w:val="00E05CEA"/>
    <w:rsid w:val="00E13090"/>
    <w:rsid w:val="00E37374"/>
    <w:rsid w:val="00E50EA9"/>
    <w:rsid w:val="00E57B50"/>
    <w:rsid w:val="00E67B4D"/>
    <w:rsid w:val="00E746D4"/>
    <w:rsid w:val="00E90433"/>
    <w:rsid w:val="00E9097D"/>
    <w:rsid w:val="00E92B9D"/>
    <w:rsid w:val="00E9394B"/>
    <w:rsid w:val="00E94B44"/>
    <w:rsid w:val="00EA4929"/>
    <w:rsid w:val="00EA6431"/>
    <w:rsid w:val="00EB075A"/>
    <w:rsid w:val="00EC0C3F"/>
    <w:rsid w:val="00EC7684"/>
    <w:rsid w:val="00ED1497"/>
    <w:rsid w:val="00ED3F9C"/>
    <w:rsid w:val="00EF49A8"/>
    <w:rsid w:val="00F008B3"/>
    <w:rsid w:val="00F02BA0"/>
    <w:rsid w:val="00F05E89"/>
    <w:rsid w:val="00F33D63"/>
    <w:rsid w:val="00F60DA2"/>
    <w:rsid w:val="00F804EC"/>
    <w:rsid w:val="00F83E7F"/>
    <w:rsid w:val="00F96E94"/>
    <w:rsid w:val="00FA53E6"/>
    <w:rsid w:val="00FA63AB"/>
    <w:rsid w:val="00FB5B5F"/>
    <w:rsid w:val="00FD7532"/>
    <w:rsid w:val="00FE64DC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02B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39965-1F75-4155-B2F4-F0F93CE0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</cp:revision>
  <cp:lastPrinted>2021-02-24T04:24:00Z</cp:lastPrinted>
  <dcterms:created xsi:type="dcterms:W3CDTF">2024-02-20T03:01:00Z</dcterms:created>
  <dcterms:modified xsi:type="dcterms:W3CDTF">2024-02-20T03:01:00Z</dcterms:modified>
</cp:coreProperties>
</file>